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3D8CFE18"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6F6E9D">
        <w:rPr>
          <w:rFonts w:ascii="Arial" w:hAnsi="Arial" w:cs="Arial"/>
          <w:b/>
          <w:sz w:val="24"/>
          <w:lang w:val="en-GB"/>
        </w:rPr>
        <w:t>3</w:t>
      </w:r>
      <w:r w:rsidR="000F6F27">
        <w:rPr>
          <w:rFonts w:ascii="Arial" w:hAnsi="Arial" w:cs="Arial"/>
          <w:b/>
          <w:sz w:val="24"/>
          <w:lang w:val="en-GB"/>
        </w:rPr>
        <w:t xml:space="preserve"> Meeting #10</w:t>
      </w:r>
      <w:r w:rsidR="006F6E9D">
        <w:rPr>
          <w:rFonts w:ascii="Arial" w:hAnsi="Arial" w:cs="Arial"/>
          <w:b/>
          <w:sz w:val="24"/>
          <w:lang w:val="en-GB"/>
        </w:rPr>
        <w:t>2</w:t>
      </w:r>
      <w:r w:rsidR="00816C00">
        <w:rPr>
          <w:rFonts w:ascii="Arial" w:hAnsi="Arial" w:cs="Arial"/>
          <w:b/>
          <w:sz w:val="24"/>
          <w:lang w:val="en-GB"/>
        </w:rPr>
        <w:t xml:space="preserve">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671971">
        <w:rPr>
          <w:rFonts w:ascii="Arial" w:hAnsi="Arial" w:cs="Arial"/>
          <w:b/>
          <w:sz w:val="24"/>
          <w:lang w:val="en-GB"/>
        </w:rPr>
        <w:tab/>
      </w:r>
      <w:r w:rsidR="006F6E9D">
        <w:rPr>
          <w:rFonts w:ascii="Arial" w:hAnsi="Arial" w:cs="Arial"/>
          <w:b/>
          <w:sz w:val="24"/>
          <w:lang w:val="en-GB"/>
        </w:rPr>
        <w:t xml:space="preserve"> </w:t>
      </w:r>
      <w:r w:rsidR="0056784F" w:rsidRPr="0056784F">
        <w:rPr>
          <w:rFonts w:ascii="Arial" w:hAnsi="Arial" w:cs="Arial"/>
          <w:b/>
          <w:sz w:val="24"/>
          <w:lang w:val="en-GB"/>
        </w:rPr>
        <w:t>R3-186761</w:t>
      </w:r>
      <w:bookmarkStart w:id="2" w:name="_GoBack"/>
      <w:bookmarkEnd w:id="2"/>
    </w:p>
    <w:p w14:paraId="57673FA3" w14:textId="2AE03AB0" w:rsidR="00616831" w:rsidRPr="0049755C" w:rsidRDefault="000F6F27"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Spokane, USA, 12</w:t>
      </w:r>
      <w:r w:rsidR="00816C00" w:rsidRPr="00816C00">
        <w:rPr>
          <w:rFonts w:eastAsia="Malgun Gothic" w:cs="Arial"/>
          <w:sz w:val="24"/>
          <w:vertAlign w:val="superscript"/>
          <w:lang w:val="en-US" w:eastAsia="ko-KR"/>
        </w:rPr>
        <w:t>th</w:t>
      </w:r>
      <w:r>
        <w:rPr>
          <w:rFonts w:eastAsia="Malgun Gothic" w:cs="Arial"/>
          <w:sz w:val="24"/>
          <w:lang w:val="en-US" w:eastAsia="ko-KR"/>
        </w:rPr>
        <w:t xml:space="preserve"> - 18</w:t>
      </w:r>
      <w:r w:rsidR="00816C00" w:rsidRPr="00816C00">
        <w:rPr>
          <w:rFonts w:eastAsia="Malgun Gothic" w:cs="Arial"/>
          <w:sz w:val="24"/>
          <w:vertAlign w:val="superscript"/>
          <w:lang w:val="en-US" w:eastAsia="ko-KR"/>
        </w:rPr>
        <w:t>th</w:t>
      </w:r>
      <w:r>
        <w:rPr>
          <w:rFonts w:eastAsia="Malgun Gothic" w:cs="Arial"/>
          <w:sz w:val="24"/>
          <w:lang w:val="en-US" w:eastAsia="ko-KR"/>
        </w:rPr>
        <w:t xml:space="preserve"> Novem</w:t>
      </w:r>
      <w:r w:rsidR="009726BD">
        <w:rPr>
          <w:rFonts w:eastAsia="Malgun Gothic" w:cs="Arial"/>
          <w:sz w:val="24"/>
          <w:lang w:val="en-US" w:eastAsia="ko-KR"/>
        </w:rPr>
        <w:t>ber</w:t>
      </w:r>
      <w:r w:rsidR="008C3B49" w:rsidRPr="008C3B49">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113B9092" w:rsidR="00D52BF3" w:rsidRPr="00B208AD" w:rsidRDefault="00D52BF3" w:rsidP="00D730DD">
      <w:pPr>
        <w:pStyle w:val="TdocHeader2"/>
        <w:spacing w:after="120"/>
        <w:ind w:left="1710" w:hanging="1710"/>
        <w:jc w:val="left"/>
        <w:rPr>
          <w:sz w:val="24"/>
        </w:rPr>
      </w:pPr>
      <w:r w:rsidRPr="00B208AD">
        <w:rPr>
          <w:sz w:val="24"/>
        </w:rPr>
        <w:t>Title:</w:t>
      </w:r>
      <w:bookmarkStart w:id="3" w:name="Title"/>
      <w:bookmarkEnd w:id="3"/>
      <w:r w:rsidRPr="00B208AD">
        <w:rPr>
          <w:sz w:val="24"/>
        </w:rPr>
        <w:tab/>
      </w:r>
      <w:r w:rsidR="00A82221">
        <w:rPr>
          <w:sz w:val="24"/>
        </w:rPr>
        <w:t>Architecture Considerations for IAB</w:t>
      </w:r>
    </w:p>
    <w:p w14:paraId="08AD6C06" w14:textId="697953B7" w:rsidR="00D52BF3" w:rsidRPr="00B208AD" w:rsidRDefault="00D52BF3" w:rsidP="00700F24">
      <w:pPr>
        <w:pStyle w:val="TdocHeader2"/>
        <w:spacing w:after="120"/>
        <w:rPr>
          <w:sz w:val="24"/>
        </w:rPr>
      </w:pPr>
      <w:r w:rsidRPr="00B208AD">
        <w:rPr>
          <w:sz w:val="24"/>
        </w:rPr>
        <w:t>Agenda Item:</w:t>
      </w:r>
      <w:r w:rsidRPr="00B208AD">
        <w:rPr>
          <w:sz w:val="24"/>
        </w:rPr>
        <w:tab/>
      </w:r>
      <w:r w:rsidR="001A5673">
        <w:rPr>
          <w:bCs/>
          <w:iCs/>
          <w:sz w:val="24"/>
        </w:rPr>
        <w:t>24.</w:t>
      </w:r>
      <w:r w:rsidR="00342B0C">
        <w:rPr>
          <w:bCs/>
          <w:iCs/>
          <w:sz w:val="24"/>
        </w:rPr>
        <w:t>1</w:t>
      </w:r>
      <w:r w:rsidR="009D3945">
        <w:rPr>
          <w:bCs/>
          <w:iCs/>
          <w:sz w:val="24"/>
        </w:rPr>
        <w:t>.1</w:t>
      </w:r>
      <w:r w:rsidR="009726BD">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6E09D5EC" w14:textId="45529DB6" w:rsidR="0012064F" w:rsidRDefault="002116FA" w:rsidP="002116FA">
      <w:pPr>
        <w:spacing w:after="0"/>
      </w:pPr>
      <w:r>
        <w:t>The IAB study item</w:t>
      </w:r>
      <w:r w:rsidR="00DA2C8B">
        <w:t xml:space="preserve"> is about to end</w:t>
      </w:r>
      <w:r w:rsidRPr="00960D71">
        <w:t>,</w:t>
      </w:r>
      <w:r>
        <w:t xml:space="preserve"> and after many months of architecture related</w:t>
      </w:r>
      <w:r w:rsidRPr="00960D71">
        <w:t xml:space="preserve"> discussion</w:t>
      </w:r>
      <w:r>
        <w:t>s</w:t>
      </w:r>
      <w:r w:rsidRPr="00960D71">
        <w:t xml:space="preserve"> in RAN2 and RAN3 WGs, </w:t>
      </w:r>
      <w:r w:rsidR="00DA2C8B">
        <w:t xml:space="preserve">some decisions and recommendations need to be provided to move on to the work item </w:t>
      </w:r>
      <w:r w:rsidRPr="00960D71">
        <w:t>phase. This contribution proposes a way forward on architecture selection for the WI pha</w:t>
      </w:r>
      <w:r>
        <w:t>se considering various factors.</w:t>
      </w:r>
    </w:p>
    <w:p w14:paraId="25FDDD76" w14:textId="77777777" w:rsidR="002116FA" w:rsidRDefault="002116FA" w:rsidP="002116FA">
      <w:pPr>
        <w:spacing w:after="0"/>
      </w:pPr>
    </w:p>
    <w:p w14:paraId="73E57EB1" w14:textId="26C14086" w:rsidR="003A6578" w:rsidRDefault="002116FA" w:rsidP="003A6578">
      <w:pPr>
        <w:pStyle w:val="Heading1"/>
      </w:pPr>
      <w:r>
        <w:t>Architecture considerations</w:t>
      </w:r>
    </w:p>
    <w:p w14:paraId="463A502D" w14:textId="3039BB74" w:rsidR="003A6578" w:rsidRDefault="003A6578" w:rsidP="003A6578">
      <w:pPr>
        <w:rPr>
          <w:lang w:eastAsia="zh-CN"/>
        </w:rPr>
      </w:pPr>
      <w:r>
        <w:rPr>
          <w:lang w:eastAsia="zh-CN"/>
        </w:rPr>
        <w:t xml:space="preserve">The IAB SI TR [1] identifies two major architecture groups - architecture group 1 and architecture group 2. Architecture group 1 has two options, namely, 1a and 1b, while architecture group 2 has three options, 2a, 2b, and 2c. For architecture group 1, even though there was some earlier discussion related to option 1b, in recent technical contributions and discussions from past several RAN2 and RAN3 WG meetings, most companies seem to be interested mainly in option 1a. For architecture group 2, </w:t>
      </w:r>
      <w:r w:rsidR="000F423F">
        <w:rPr>
          <w:lang w:eastAsia="zh-CN"/>
        </w:rPr>
        <w:t>most</w:t>
      </w:r>
      <w:r>
        <w:rPr>
          <w:lang w:eastAsia="zh-CN"/>
        </w:rPr>
        <w:t xml:space="preserve"> technical contributions and discussions have been related to option 2a. Figures 1-1, 1-2 and 1-3 show architecture representations for architecture options 1a, 1b, and 2a from the IAB SI TR.</w:t>
      </w:r>
    </w:p>
    <w:p w14:paraId="0A60AB3C" w14:textId="77777777" w:rsidR="0012064F" w:rsidRDefault="0012064F" w:rsidP="0012064F">
      <w:r>
        <w:object w:dxaOrig="14372" w:dyaOrig="3145" w14:anchorId="201E7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5.75pt" o:ole="">
            <v:imagedata r:id="rId8" o:title=""/>
          </v:shape>
          <o:OLEObject Type="Embed" ProgID="Visio.Drawing.11" ShapeID="_x0000_i1025" DrawAspect="Content" ObjectID="_1602701522" r:id="rId9"/>
        </w:object>
      </w:r>
    </w:p>
    <w:p w14:paraId="3995D0DF" w14:textId="221071B7" w:rsidR="0012064F" w:rsidRDefault="0012064F" w:rsidP="0012064F">
      <w:pPr>
        <w:pStyle w:val="Caption"/>
        <w:jc w:val="center"/>
      </w:pPr>
      <w:r>
        <w:t xml:space="preserve">Figure </w:t>
      </w:r>
      <w:r w:rsidR="00092DCB">
        <w:t>1</w:t>
      </w:r>
      <w:r>
        <w:noBreakHyphen/>
      </w:r>
      <w:r w:rsidR="007C3EE7">
        <w:fldChar w:fldCharType="begin"/>
      </w:r>
      <w:r w:rsidR="007C3EE7">
        <w:instrText xml:space="preserve"> SEQ Figure \* ARABIC \s 1 </w:instrText>
      </w:r>
      <w:r w:rsidR="007C3EE7">
        <w:fldChar w:fldCharType="separate"/>
      </w:r>
      <w:r>
        <w:rPr>
          <w:noProof/>
        </w:rPr>
        <w:t>1</w:t>
      </w:r>
      <w:r w:rsidR="007C3EE7">
        <w:rPr>
          <w:noProof/>
        </w:rPr>
        <w:fldChar w:fldCharType="end"/>
      </w:r>
      <w:r>
        <w:t xml:space="preserve"> IAB Architecture 1a</w:t>
      </w:r>
    </w:p>
    <w:p w14:paraId="437ADE11" w14:textId="77777777" w:rsidR="0012064F" w:rsidRDefault="0012064F" w:rsidP="0012064F">
      <w:r>
        <w:object w:dxaOrig="15801" w:dyaOrig="3306" w14:anchorId="4CD9D543">
          <v:shape id="_x0000_i1026" type="#_x0000_t75" style="width:482.25pt;height:101.25pt" o:ole="">
            <v:imagedata r:id="rId10" o:title=""/>
          </v:shape>
          <o:OLEObject Type="Embed" ProgID="Visio.Drawing.11" ShapeID="_x0000_i1026" DrawAspect="Content" ObjectID="_1602701523" r:id="rId11"/>
        </w:object>
      </w:r>
    </w:p>
    <w:p w14:paraId="5BA610F5" w14:textId="22075E66" w:rsidR="0012064F" w:rsidRDefault="0012064F" w:rsidP="0012064F">
      <w:pPr>
        <w:pStyle w:val="Caption"/>
        <w:jc w:val="center"/>
      </w:pPr>
      <w:r>
        <w:t xml:space="preserve">Figure </w:t>
      </w:r>
      <w:r w:rsidR="00092DCB">
        <w:t>1</w:t>
      </w:r>
      <w:r>
        <w:noBreakHyphen/>
      </w:r>
      <w:r w:rsidR="007C3EE7">
        <w:fldChar w:fldCharType="begin"/>
      </w:r>
      <w:r w:rsidR="007C3EE7">
        <w:instrText xml:space="preserve"> SEQ Figure \* ARABIC \s 1 </w:instrText>
      </w:r>
      <w:r w:rsidR="007C3EE7">
        <w:fldChar w:fldCharType="separate"/>
      </w:r>
      <w:r>
        <w:rPr>
          <w:noProof/>
        </w:rPr>
        <w:t>2</w:t>
      </w:r>
      <w:r w:rsidR="007C3EE7">
        <w:rPr>
          <w:noProof/>
        </w:rPr>
        <w:fldChar w:fldCharType="end"/>
      </w:r>
      <w:r>
        <w:t xml:space="preserve"> IAB Architecture 1b</w:t>
      </w:r>
    </w:p>
    <w:p w14:paraId="0CE57E98" w14:textId="77777777" w:rsidR="0012064F" w:rsidRDefault="0012064F" w:rsidP="0012064F">
      <w:pPr>
        <w:rPr>
          <w:rFonts w:ascii="Times New Roman" w:eastAsia="Yu Mincho" w:hAnsi="Times New Roman"/>
          <w:lang w:val="en-GB"/>
        </w:rPr>
      </w:pPr>
      <w:r w:rsidRPr="00CC3015">
        <w:rPr>
          <w:rFonts w:ascii="Times New Roman" w:eastAsia="Yu Mincho" w:hAnsi="Times New Roman"/>
          <w:lang w:val="en-GB"/>
        </w:rPr>
        <w:object w:dxaOrig="15022" w:dyaOrig="3324" w14:anchorId="5BD74F4B">
          <v:shape id="_x0000_i1027" type="#_x0000_t75" style="width:481.5pt;height:106.5pt" o:ole="">
            <v:imagedata r:id="rId12" o:title=""/>
          </v:shape>
          <o:OLEObject Type="Embed" ProgID="Visio.Drawing.11" ShapeID="_x0000_i1027" DrawAspect="Content" ObjectID="_1602701524" r:id="rId13"/>
        </w:object>
      </w:r>
    </w:p>
    <w:p w14:paraId="5B363CCC" w14:textId="06BBD469" w:rsidR="0012064F" w:rsidRDefault="0012064F" w:rsidP="0012064F">
      <w:pPr>
        <w:pStyle w:val="Caption"/>
        <w:jc w:val="center"/>
      </w:pPr>
      <w:r>
        <w:t xml:space="preserve">Figure </w:t>
      </w:r>
      <w:r w:rsidR="00092DCB">
        <w:t>1</w:t>
      </w:r>
      <w:r>
        <w:noBreakHyphen/>
      </w:r>
      <w:r w:rsidR="007C3EE7">
        <w:fldChar w:fldCharType="begin"/>
      </w:r>
      <w:r w:rsidR="007C3EE7">
        <w:instrText xml:space="preserve"> SEQ Figure \* ARABIC \s 1 </w:instrText>
      </w:r>
      <w:r w:rsidR="007C3EE7">
        <w:fldChar w:fldCharType="separate"/>
      </w:r>
      <w:r>
        <w:rPr>
          <w:noProof/>
        </w:rPr>
        <w:t>3</w:t>
      </w:r>
      <w:r w:rsidR="007C3EE7">
        <w:rPr>
          <w:noProof/>
        </w:rPr>
        <w:fldChar w:fldCharType="end"/>
      </w:r>
      <w:r>
        <w:t xml:space="preserve"> IAB Architecture 2</w:t>
      </w:r>
      <w:r w:rsidR="006538B5">
        <w:t>a</w:t>
      </w:r>
    </w:p>
    <w:p w14:paraId="7D3DF350" w14:textId="77777777" w:rsidR="00D23077" w:rsidRDefault="00D23077" w:rsidP="00C82D64">
      <w:pPr>
        <w:spacing w:after="0"/>
      </w:pPr>
    </w:p>
    <w:p w14:paraId="2B2D49C5" w14:textId="34A41FBD" w:rsidR="00D23077" w:rsidRDefault="00D23077" w:rsidP="00C82D64">
      <w:pPr>
        <w:spacing w:after="0"/>
      </w:pPr>
      <w:r>
        <w:t xml:space="preserve">Historically, architecture selection in 3GPP has been </w:t>
      </w:r>
      <w:r w:rsidR="0099741C">
        <w:t xml:space="preserve">mainly </w:t>
      </w:r>
      <w:r>
        <w:t xml:space="preserve">driven by technical reasons, interest </w:t>
      </w:r>
      <w:r w:rsidR="005A6ADD">
        <w:t>of contributing companies, and deployment scenarios/</w:t>
      </w:r>
      <w:r>
        <w:t>use cases.</w:t>
      </w:r>
      <w:r w:rsidR="0099741C">
        <w:t xml:space="preserve"> In the following table, we list many different factors for architectures 1a, 1b, and 2a that fall under these categories to aid the architecture selection discussion.</w:t>
      </w:r>
    </w:p>
    <w:p w14:paraId="5FA13B3D" w14:textId="77777777" w:rsidR="00D23077" w:rsidRDefault="00D23077" w:rsidP="00C82D64">
      <w:pPr>
        <w:spacing w:after="0"/>
      </w:pPr>
    </w:p>
    <w:p w14:paraId="7072D1F6" w14:textId="1896446F" w:rsidR="000F423F" w:rsidRPr="00960D71" w:rsidRDefault="000F423F" w:rsidP="000F423F">
      <w:pPr>
        <w:spacing w:after="0"/>
        <w:jc w:val="center"/>
      </w:pPr>
      <w:r>
        <w:t>Table 2-1. High level comparison of IAB architectures 1a, 1b, and 2a</w:t>
      </w:r>
    </w:p>
    <w:tbl>
      <w:tblPr>
        <w:tblStyle w:val="TableGrid"/>
        <w:tblW w:w="0" w:type="auto"/>
        <w:tblLook w:val="04A0" w:firstRow="1" w:lastRow="0" w:firstColumn="1" w:lastColumn="0" w:noHBand="0" w:noVBand="1"/>
      </w:tblPr>
      <w:tblGrid>
        <w:gridCol w:w="2654"/>
        <w:gridCol w:w="2436"/>
        <w:gridCol w:w="2436"/>
        <w:gridCol w:w="2436"/>
      </w:tblGrid>
      <w:tr w:rsidR="00960D71" w:rsidRPr="00960D71" w14:paraId="1E1AA534" w14:textId="77777777" w:rsidTr="00482E20">
        <w:tc>
          <w:tcPr>
            <w:tcW w:w="2654" w:type="dxa"/>
            <w:vAlign w:val="center"/>
          </w:tcPr>
          <w:p w14:paraId="46E38F3E" w14:textId="77777777" w:rsidR="00960D71" w:rsidRPr="00960D71" w:rsidRDefault="00960D71" w:rsidP="00336053">
            <w:pPr>
              <w:spacing w:before="100" w:beforeAutospacing="1" w:after="120"/>
              <w:jc w:val="center"/>
              <w:rPr>
                <w:rFonts w:asciiTheme="minorHAnsi" w:hAnsiTheme="minorHAnsi"/>
                <w:sz w:val="22"/>
                <w:lang w:eastAsia="en-US"/>
              </w:rPr>
            </w:pPr>
          </w:p>
        </w:tc>
        <w:tc>
          <w:tcPr>
            <w:tcW w:w="2436" w:type="dxa"/>
            <w:vAlign w:val="center"/>
          </w:tcPr>
          <w:p w14:paraId="22FB0CE0" w14:textId="777D39CF" w:rsidR="00960D71" w:rsidRPr="00960D71" w:rsidRDefault="00960D71"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Architecture 1a</w:t>
            </w:r>
          </w:p>
        </w:tc>
        <w:tc>
          <w:tcPr>
            <w:tcW w:w="2436" w:type="dxa"/>
            <w:vAlign w:val="center"/>
          </w:tcPr>
          <w:p w14:paraId="4A2A32AD" w14:textId="136E197E" w:rsidR="00960D71" w:rsidRPr="00960D71" w:rsidRDefault="00960D71" w:rsidP="00336053">
            <w:pPr>
              <w:spacing w:before="100" w:beforeAutospacing="1" w:after="120"/>
              <w:jc w:val="center"/>
            </w:pPr>
            <w:r>
              <w:t>Architecture 1b</w:t>
            </w:r>
          </w:p>
        </w:tc>
        <w:tc>
          <w:tcPr>
            <w:tcW w:w="2436" w:type="dxa"/>
            <w:vAlign w:val="center"/>
          </w:tcPr>
          <w:p w14:paraId="1429AE91" w14:textId="2B986DEB" w:rsidR="00960D71" w:rsidRPr="00960D71" w:rsidRDefault="00960D71"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Architecture 2a</w:t>
            </w:r>
          </w:p>
        </w:tc>
      </w:tr>
      <w:tr w:rsidR="00960D71" w:rsidRPr="00960D71" w14:paraId="094EAA94" w14:textId="77777777" w:rsidTr="00482E20">
        <w:tc>
          <w:tcPr>
            <w:tcW w:w="2654" w:type="dxa"/>
          </w:tcPr>
          <w:p w14:paraId="7F407C07" w14:textId="1C4D20F0" w:rsidR="00960D71" w:rsidRPr="00960D71" w:rsidRDefault="00164BB5"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Level of interest amongst companies contributing to IAB SI</w:t>
            </w:r>
          </w:p>
        </w:tc>
        <w:tc>
          <w:tcPr>
            <w:tcW w:w="2436" w:type="dxa"/>
          </w:tcPr>
          <w:p w14:paraId="67E304F6" w14:textId="3A8B3BCC" w:rsidR="00960D71" w:rsidRPr="00960D71" w:rsidRDefault="006617F8"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H</w:t>
            </w:r>
            <w:r w:rsidR="00164BB5">
              <w:rPr>
                <w:rFonts w:asciiTheme="minorHAnsi" w:hAnsiTheme="minorHAnsi"/>
                <w:sz w:val="22"/>
                <w:lang w:eastAsia="en-US"/>
              </w:rPr>
              <w:t>igh</w:t>
            </w:r>
          </w:p>
        </w:tc>
        <w:tc>
          <w:tcPr>
            <w:tcW w:w="2436" w:type="dxa"/>
          </w:tcPr>
          <w:p w14:paraId="6C332482" w14:textId="19167DDA" w:rsidR="00960D71" w:rsidRPr="00960D71" w:rsidRDefault="008D6188" w:rsidP="00336053">
            <w:pPr>
              <w:spacing w:before="100" w:beforeAutospacing="1" w:after="120"/>
              <w:jc w:val="center"/>
            </w:pPr>
            <w:r>
              <w:t>Low</w:t>
            </w:r>
          </w:p>
        </w:tc>
        <w:tc>
          <w:tcPr>
            <w:tcW w:w="2436" w:type="dxa"/>
          </w:tcPr>
          <w:p w14:paraId="0B424B47" w14:textId="4CBE34D0" w:rsidR="00960D71" w:rsidRPr="00960D71" w:rsidRDefault="008D6188"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Moderate</w:t>
            </w:r>
          </w:p>
        </w:tc>
      </w:tr>
      <w:tr w:rsidR="00960D71" w:rsidRPr="00960D71" w14:paraId="3F56BD07" w14:textId="77777777" w:rsidTr="00482E20">
        <w:tc>
          <w:tcPr>
            <w:tcW w:w="2654" w:type="dxa"/>
          </w:tcPr>
          <w:p w14:paraId="29F2A3B1" w14:textId="30A0CD6E" w:rsidR="00960D71" w:rsidRPr="00960D71" w:rsidRDefault="006617F8"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Compatibility with CU-DU split architecture</w:t>
            </w:r>
          </w:p>
        </w:tc>
        <w:tc>
          <w:tcPr>
            <w:tcW w:w="2436" w:type="dxa"/>
          </w:tcPr>
          <w:p w14:paraId="5C7E926B" w14:textId="564919B9" w:rsidR="00960D71" w:rsidRPr="00960D71" w:rsidRDefault="005E3AC6"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Native</w:t>
            </w:r>
          </w:p>
        </w:tc>
        <w:tc>
          <w:tcPr>
            <w:tcW w:w="2436" w:type="dxa"/>
          </w:tcPr>
          <w:p w14:paraId="58DBECCF" w14:textId="7293AD31" w:rsidR="00960D71" w:rsidRPr="00960D71" w:rsidRDefault="005E3AC6" w:rsidP="00336053">
            <w:pPr>
              <w:spacing w:before="100" w:beforeAutospacing="1" w:after="120"/>
              <w:jc w:val="center"/>
            </w:pPr>
            <w:r>
              <w:t>Native</w:t>
            </w:r>
          </w:p>
        </w:tc>
        <w:tc>
          <w:tcPr>
            <w:tcW w:w="2436" w:type="dxa"/>
          </w:tcPr>
          <w:p w14:paraId="7EC3F9E5" w14:textId="12DA3D18" w:rsidR="00960D71" w:rsidRPr="00960D71" w:rsidRDefault="00A57112"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2a n</w:t>
            </w:r>
            <w:r w:rsidR="00B158A5">
              <w:rPr>
                <w:rFonts w:asciiTheme="minorHAnsi" w:hAnsiTheme="minorHAnsi"/>
                <w:sz w:val="22"/>
                <w:lang w:eastAsia="en-US"/>
              </w:rPr>
              <w:t xml:space="preserve">ot </w:t>
            </w:r>
            <w:r w:rsidR="005A6ADD">
              <w:rPr>
                <w:rFonts w:asciiTheme="minorHAnsi" w:hAnsiTheme="minorHAnsi"/>
                <w:sz w:val="22"/>
                <w:lang w:eastAsia="en-US"/>
              </w:rPr>
              <w:t>compatible (need 2c with nested tunnels</w:t>
            </w:r>
            <w:r w:rsidR="007B093F">
              <w:rPr>
                <w:rFonts w:asciiTheme="minorHAnsi" w:hAnsiTheme="minorHAnsi"/>
                <w:sz w:val="22"/>
                <w:lang w:eastAsia="en-US"/>
              </w:rPr>
              <w:t>)</w:t>
            </w:r>
          </w:p>
        </w:tc>
      </w:tr>
      <w:tr w:rsidR="00336053" w:rsidRPr="00960D71" w14:paraId="5FA8A80C" w14:textId="77777777" w:rsidTr="00336053">
        <w:tc>
          <w:tcPr>
            <w:tcW w:w="2654" w:type="dxa"/>
          </w:tcPr>
          <w:p w14:paraId="3112EBEB" w14:textId="77777777" w:rsidR="00336053" w:rsidRDefault="00336053" w:rsidP="002644BB">
            <w:pPr>
              <w:spacing w:before="100" w:beforeAutospacing="1" w:after="120"/>
              <w:jc w:val="center"/>
            </w:pPr>
            <w:r>
              <w:t>Compatibility with NSA architecture</w:t>
            </w:r>
          </w:p>
        </w:tc>
        <w:tc>
          <w:tcPr>
            <w:tcW w:w="2436" w:type="dxa"/>
          </w:tcPr>
          <w:p w14:paraId="3DF16891" w14:textId="420857E2" w:rsidR="00336053" w:rsidRDefault="005E3AC6" w:rsidP="002644BB">
            <w:pPr>
              <w:spacing w:before="100" w:beforeAutospacing="1" w:after="120"/>
              <w:jc w:val="center"/>
            </w:pPr>
            <w:r>
              <w:t>Compatible</w:t>
            </w:r>
          </w:p>
        </w:tc>
        <w:tc>
          <w:tcPr>
            <w:tcW w:w="2436" w:type="dxa"/>
          </w:tcPr>
          <w:p w14:paraId="7145667A" w14:textId="77777777" w:rsidR="00336053" w:rsidRDefault="00336053" w:rsidP="002644BB">
            <w:pPr>
              <w:spacing w:before="100" w:beforeAutospacing="1" w:after="120"/>
              <w:jc w:val="center"/>
            </w:pPr>
            <w:r>
              <w:t>Additional complexity due to UPF at CU</w:t>
            </w:r>
          </w:p>
        </w:tc>
        <w:tc>
          <w:tcPr>
            <w:tcW w:w="2436" w:type="dxa"/>
          </w:tcPr>
          <w:p w14:paraId="0E79546E" w14:textId="77777777" w:rsidR="00336053" w:rsidRDefault="00336053" w:rsidP="002644BB">
            <w:pPr>
              <w:spacing w:before="100" w:beforeAutospacing="1" w:after="120"/>
              <w:jc w:val="center"/>
            </w:pPr>
            <w:r>
              <w:t>Not compatible</w:t>
            </w:r>
          </w:p>
        </w:tc>
      </w:tr>
      <w:tr w:rsidR="009E33DF" w:rsidRPr="00960D71" w14:paraId="79C7CDB9" w14:textId="77777777" w:rsidTr="00482E20">
        <w:tc>
          <w:tcPr>
            <w:tcW w:w="2654" w:type="dxa"/>
          </w:tcPr>
          <w:p w14:paraId="252FE4CD" w14:textId="533E2F51" w:rsidR="009E33DF" w:rsidRDefault="009E33DF" w:rsidP="00336053">
            <w:pPr>
              <w:spacing w:before="100" w:beforeAutospacing="1" w:after="120"/>
              <w:jc w:val="center"/>
            </w:pPr>
            <w:r>
              <w:t>Compatibility with CRAN/NFV</w:t>
            </w:r>
          </w:p>
        </w:tc>
        <w:tc>
          <w:tcPr>
            <w:tcW w:w="2436" w:type="dxa"/>
          </w:tcPr>
          <w:p w14:paraId="39694F9C" w14:textId="441B9A35" w:rsidR="009E33DF" w:rsidRDefault="00E569C2" w:rsidP="00336053">
            <w:pPr>
              <w:spacing w:before="100" w:beforeAutospacing="1" w:after="120"/>
              <w:jc w:val="center"/>
            </w:pPr>
            <w:r>
              <w:t>Native</w:t>
            </w:r>
          </w:p>
        </w:tc>
        <w:tc>
          <w:tcPr>
            <w:tcW w:w="2436" w:type="dxa"/>
          </w:tcPr>
          <w:p w14:paraId="181FE3EC" w14:textId="5936981E" w:rsidR="009E33DF" w:rsidRDefault="00E569C2" w:rsidP="00336053">
            <w:pPr>
              <w:spacing w:before="100" w:beforeAutospacing="1" w:after="120"/>
              <w:jc w:val="center"/>
            </w:pPr>
            <w:r>
              <w:t>Native</w:t>
            </w:r>
          </w:p>
        </w:tc>
        <w:tc>
          <w:tcPr>
            <w:tcW w:w="2436" w:type="dxa"/>
          </w:tcPr>
          <w:p w14:paraId="1A779CD1" w14:textId="276AA6C7" w:rsidR="009E33DF" w:rsidRDefault="005A6ADD" w:rsidP="00336053">
            <w:pPr>
              <w:spacing w:before="100" w:beforeAutospacing="1" w:after="120"/>
              <w:jc w:val="center"/>
            </w:pPr>
            <w:r>
              <w:t>2a n</w:t>
            </w:r>
            <w:r w:rsidR="00B158A5">
              <w:t xml:space="preserve">ot </w:t>
            </w:r>
            <w:r>
              <w:t xml:space="preserve">compatible (need </w:t>
            </w:r>
            <w:r w:rsidR="007B093F">
              <w:t>2c</w:t>
            </w:r>
            <w:r>
              <w:t xml:space="preserve"> with nested tunnels</w:t>
            </w:r>
            <w:r w:rsidR="007B093F">
              <w:t>)</w:t>
            </w:r>
          </w:p>
        </w:tc>
      </w:tr>
      <w:tr w:rsidR="00960D71" w:rsidRPr="00960D71" w14:paraId="0134212E" w14:textId="77777777" w:rsidTr="00482E20">
        <w:tc>
          <w:tcPr>
            <w:tcW w:w="2654" w:type="dxa"/>
          </w:tcPr>
          <w:p w14:paraId="7D9E92AD" w14:textId="446DAD1A" w:rsidR="00960D71" w:rsidRPr="00960D71" w:rsidRDefault="006617F8"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Protocol overhead</w:t>
            </w:r>
          </w:p>
        </w:tc>
        <w:tc>
          <w:tcPr>
            <w:tcW w:w="2436" w:type="dxa"/>
          </w:tcPr>
          <w:p w14:paraId="476DEE95" w14:textId="2D2B7AAA" w:rsidR="00960D71" w:rsidRPr="00960D71" w:rsidRDefault="006617F8"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Lower</w:t>
            </w:r>
          </w:p>
        </w:tc>
        <w:tc>
          <w:tcPr>
            <w:tcW w:w="2436" w:type="dxa"/>
          </w:tcPr>
          <w:p w14:paraId="34F7B523" w14:textId="47B54E5E" w:rsidR="00960D71" w:rsidRPr="00960D71" w:rsidRDefault="006617F8" w:rsidP="00336053">
            <w:pPr>
              <w:spacing w:before="100" w:beforeAutospacing="1" w:after="120"/>
              <w:jc w:val="center"/>
            </w:pPr>
            <w:r>
              <w:t>Moderate</w:t>
            </w:r>
          </w:p>
        </w:tc>
        <w:tc>
          <w:tcPr>
            <w:tcW w:w="2436" w:type="dxa"/>
          </w:tcPr>
          <w:p w14:paraId="5F66AE28" w14:textId="0D0DC8FE" w:rsidR="00960D71" w:rsidRPr="00960D71" w:rsidRDefault="006617F8"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Higher</w:t>
            </w:r>
          </w:p>
        </w:tc>
      </w:tr>
      <w:tr w:rsidR="00960D71" w:rsidRPr="00960D71" w14:paraId="72673916" w14:textId="77777777" w:rsidTr="00482E20">
        <w:tc>
          <w:tcPr>
            <w:tcW w:w="2654" w:type="dxa"/>
          </w:tcPr>
          <w:p w14:paraId="47E9A3B9" w14:textId="22F01BDE" w:rsidR="00960D71" w:rsidRPr="00960D71" w:rsidRDefault="006617F8"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Complexity of IAB Nodes</w:t>
            </w:r>
          </w:p>
        </w:tc>
        <w:tc>
          <w:tcPr>
            <w:tcW w:w="2436" w:type="dxa"/>
          </w:tcPr>
          <w:p w14:paraId="693ACB05" w14:textId="7B528FE1" w:rsidR="00960D71" w:rsidRPr="00960D71" w:rsidRDefault="006617F8"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Moderate</w:t>
            </w:r>
          </w:p>
        </w:tc>
        <w:tc>
          <w:tcPr>
            <w:tcW w:w="2436" w:type="dxa"/>
          </w:tcPr>
          <w:p w14:paraId="22462F8E" w14:textId="68B6A18F" w:rsidR="00960D71" w:rsidRPr="00960D71" w:rsidRDefault="006617F8" w:rsidP="00336053">
            <w:pPr>
              <w:spacing w:before="100" w:beforeAutospacing="1" w:after="120"/>
              <w:jc w:val="center"/>
            </w:pPr>
            <w:r>
              <w:t>Moderate</w:t>
            </w:r>
          </w:p>
        </w:tc>
        <w:tc>
          <w:tcPr>
            <w:tcW w:w="2436" w:type="dxa"/>
          </w:tcPr>
          <w:p w14:paraId="0F8B69D1" w14:textId="3EE014DA" w:rsidR="00960D71" w:rsidRPr="00960D71" w:rsidRDefault="00482E20"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 xml:space="preserve">Higher due to full </w:t>
            </w:r>
            <w:proofErr w:type="spellStart"/>
            <w:r>
              <w:rPr>
                <w:rFonts w:asciiTheme="minorHAnsi" w:hAnsiTheme="minorHAnsi"/>
                <w:sz w:val="22"/>
                <w:lang w:eastAsia="en-US"/>
              </w:rPr>
              <w:t>gNB</w:t>
            </w:r>
            <w:proofErr w:type="spellEnd"/>
            <w:r>
              <w:rPr>
                <w:rFonts w:asciiTheme="minorHAnsi" w:hAnsiTheme="minorHAnsi"/>
                <w:sz w:val="22"/>
                <w:lang w:eastAsia="en-US"/>
              </w:rPr>
              <w:t xml:space="preserve"> </w:t>
            </w:r>
            <w:r w:rsidR="005A6ADD">
              <w:rPr>
                <w:rFonts w:asciiTheme="minorHAnsi" w:hAnsiTheme="minorHAnsi"/>
                <w:sz w:val="22"/>
                <w:lang w:eastAsia="en-US"/>
              </w:rPr>
              <w:t xml:space="preserve">and UPF </w:t>
            </w:r>
            <w:r>
              <w:rPr>
                <w:rFonts w:asciiTheme="minorHAnsi" w:hAnsiTheme="minorHAnsi"/>
                <w:sz w:val="22"/>
                <w:lang w:eastAsia="en-US"/>
              </w:rPr>
              <w:t>at each IAB node</w:t>
            </w:r>
          </w:p>
        </w:tc>
      </w:tr>
      <w:tr w:rsidR="00960D71" w:rsidRPr="00960D71" w14:paraId="20B1F5C4" w14:textId="77777777" w:rsidTr="00482E20">
        <w:tc>
          <w:tcPr>
            <w:tcW w:w="2654" w:type="dxa"/>
          </w:tcPr>
          <w:p w14:paraId="7D05E9BD" w14:textId="20BDA77C" w:rsidR="00960D71" w:rsidRPr="00960D71" w:rsidRDefault="006617F8"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Security</w:t>
            </w:r>
            <w:r w:rsidR="00482E20">
              <w:rPr>
                <w:rFonts w:asciiTheme="minorHAnsi" w:hAnsiTheme="minorHAnsi"/>
                <w:sz w:val="22"/>
                <w:lang w:eastAsia="en-US"/>
              </w:rPr>
              <w:t xml:space="preserve"> </w:t>
            </w:r>
            <w:r w:rsidR="00662FB8">
              <w:rPr>
                <w:rFonts w:asciiTheme="minorHAnsi" w:hAnsiTheme="minorHAnsi"/>
                <w:sz w:val="22"/>
                <w:lang w:eastAsia="en-US"/>
              </w:rPr>
              <w:t xml:space="preserve">risk </w:t>
            </w:r>
            <w:r w:rsidR="00482E20">
              <w:rPr>
                <w:rFonts w:asciiTheme="minorHAnsi" w:hAnsiTheme="minorHAnsi"/>
                <w:sz w:val="22"/>
                <w:lang w:eastAsia="en-US"/>
              </w:rPr>
              <w:t>of IAB nodes</w:t>
            </w:r>
          </w:p>
        </w:tc>
        <w:tc>
          <w:tcPr>
            <w:tcW w:w="2436" w:type="dxa"/>
          </w:tcPr>
          <w:p w14:paraId="66E4F576" w14:textId="009AB59F" w:rsidR="00960D71" w:rsidRPr="00960D71" w:rsidRDefault="00662FB8"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Lower risk</w:t>
            </w:r>
            <w:r w:rsidR="00482E20">
              <w:rPr>
                <w:rFonts w:asciiTheme="minorHAnsi" w:hAnsiTheme="minorHAnsi"/>
                <w:sz w:val="22"/>
                <w:lang w:eastAsia="en-US"/>
              </w:rPr>
              <w:t xml:space="preserve"> (no CU function at IAB node)</w:t>
            </w:r>
          </w:p>
        </w:tc>
        <w:tc>
          <w:tcPr>
            <w:tcW w:w="2436" w:type="dxa"/>
          </w:tcPr>
          <w:p w14:paraId="4CD34958" w14:textId="2A8B4C78" w:rsidR="00960D71" w:rsidRPr="00960D71" w:rsidRDefault="00662FB8" w:rsidP="00336053">
            <w:pPr>
              <w:spacing w:before="100" w:beforeAutospacing="1" w:after="120"/>
              <w:jc w:val="center"/>
            </w:pPr>
            <w:r>
              <w:t>Lower risk</w:t>
            </w:r>
            <w:r w:rsidR="00482E20">
              <w:t xml:space="preserve"> (no CU function at IAB node)</w:t>
            </w:r>
          </w:p>
        </w:tc>
        <w:tc>
          <w:tcPr>
            <w:tcW w:w="2436" w:type="dxa"/>
          </w:tcPr>
          <w:p w14:paraId="78A9AF2B" w14:textId="3A9D5CCC" w:rsidR="00960D71" w:rsidRPr="00960D71" w:rsidRDefault="00662FB8"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Greater risk</w:t>
            </w:r>
            <w:r w:rsidR="00482E20">
              <w:rPr>
                <w:rFonts w:asciiTheme="minorHAnsi" w:hAnsiTheme="minorHAnsi"/>
                <w:sz w:val="22"/>
                <w:lang w:eastAsia="en-US"/>
              </w:rPr>
              <w:t xml:space="preserve"> (</w:t>
            </w:r>
            <w:r>
              <w:rPr>
                <w:rFonts w:asciiTheme="minorHAnsi" w:hAnsiTheme="minorHAnsi"/>
                <w:sz w:val="22"/>
                <w:lang w:eastAsia="en-US"/>
              </w:rPr>
              <w:t xml:space="preserve">full </w:t>
            </w:r>
            <w:proofErr w:type="spellStart"/>
            <w:r>
              <w:rPr>
                <w:rFonts w:asciiTheme="minorHAnsi" w:hAnsiTheme="minorHAnsi"/>
                <w:sz w:val="22"/>
                <w:lang w:eastAsia="en-US"/>
              </w:rPr>
              <w:t>gNB</w:t>
            </w:r>
            <w:proofErr w:type="spellEnd"/>
            <w:r>
              <w:rPr>
                <w:rFonts w:asciiTheme="minorHAnsi" w:hAnsiTheme="minorHAnsi"/>
                <w:sz w:val="22"/>
                <w:lang w:eastAsia="en-US"/>
              </w:rPr>
              <w:t xml:space="preserve"> </w:t>
            </w:r>
            <w:r w:rsidR="00482E20">
              <w:rPr>
                <w:rFonts w:asciiTheme="minorHAnsi" w:hAnsiTheme="minorHAnsi"/>
                <w:sz w:val="22"/>
                <w:lang w:eastAsia="en-US"/>
              </w:rPr>
              <w:t>at each IAB node)</w:t>
            </w:r>
          </w:p>
        </w:tc>
      </w:tr>
      <w:tr w:rsidR="00960D71" w:rsidRPr="00960D71" w14:paraId="0FCAAB33" w14:textId="77777777" w:rsidTr="00482E20">
        <w:tc>
          <w:tcPr>
            <w:tcW w:w="2654" w:type="dxa"/>
          </w:tcPr>
          <w:p w14:paraId="662E1E77" w14:textId="7DA85207" w:rsidR="00960D71" w:rsidRPr="00960D71" w:rsidRDefault="00482E20"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Transport of LTE and non-3GPP Access</w:t>
            </w:r>
          </w:p>
        </w:tc>
        <w:tc>
          <w:tcPr>
            <w:tcW w:w="2436" w:type="dxa"/>
          </w:tcPr>
          <w:p w14:paraId="1253B943" w14:textId="07278D69" w:rsidR="00960D71" w:rsidRPr="00960D71" w:rsidRDefault="00482E20"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Yes</w:t>
            </w:r>
          </w:p>
        </w:tc>
        <w:tc>
          <w:tcPr>
            <w:tcW w:w="2436" w:type="dxa"/>
          </w:tcPr>
          <w:p w14:paraId="19F0C825" w14:textId="6E34125B" w:rsidR="00960D71" w:rsidRPr="00960D71" w:rsidRDefault="00482E20" w:rsidP="00336053">
            <w:pPr>
              <w:spacing w:before="100" w:beforeAutospacing="1" w:after="120"/>
              <w:jc w:val="center"/>
            </w:pPr>
            <w:r>
              <w:t>Yes</w:t>
            </w:r>
          </w:p>
        </w:tc>
        <w:tc>
          <w:tcPr>
            <w:tcW w:w="2436" w:type="dxa"/>
          </w:tcPr>
          <w:p w14:paraId="30F706BF" w14:textId="214D3C81" w:rsidR="00960D71" w:rsidRPr="00960D71" w:rsidRDefault="00482E20" w:rsidP="00336053">
            <w:pPr>
              <w:spacing w:before="100" w:beforeAutospacing="1" w:after="120"/>
              <w:jc w:val="center"/>
              <w:rPr>
                <w:rFonts w:asciiTheme="minorHAnsi" w:hAnsiTheme="minorHAnsi"/>
                <w:sz w:val="22"/>
                <w:lang w:eastAsia="en-US"/>
              </w:rPr>
            </w:pPr>
            <w:r>
              <w:rPr>
                <w:rFonts w:asciiTheme="minorHAnsi" w:hAnsiTheme="minorHAnsi"/>
                <w:sz w:val="22"/>
                <w:lang w:eastAsia="en-US"/>
              </w:rPr>
              <w:t>Yes</w:t>
            </w:r>
          </w:p>
        </w:tc>
      </w:tr>
      <w:tr w:rsidR="00482E20" w:rsidRPr="00960D71" w14:paraId="0116FA8A" w14:textId="77777777" w:rsidTr="00482E20">
        <w:tc>
          <w:tcPr>
            <w:tcW w:w="2654" w:type="dxa"/>
          </w:tcPr>
          <w:p w14:paraId="3085DBBA" w14:textId="5DCEE797" w:rsidR="00482E20" w:rsidRDefault="00482E20" w:rsidP="00336053">
            <w:pPr>
              <w:spacing w:before="100" w:beforeAutospacing="1" w:after="120"/>
              <w:jc w:val="center"/>
            </w:pPr>
            <w:r>
              <w:t>Fast route changes</w:t>
            </w:r>
          </w:p>
        </w:tc>
        <w:tc>
          <w:tcPr>
            <w:tcW w:w="2436" w:type="dxa"/>
          </w:tcPr>
          <w:p w14:paraId="1A4B2F9C" w14:textId="5AC4C077" w:rsidR="00482E20" w:rsidRDefault="00482E20" w:rsidP="00336053">
            <w:pPr>
              <w:spacing w:before="100" w:beforeAutospacing="1" w:after="120"/>
              <w:jc w:val="center"/>
            </w:pPr>
            <w:r>
              <w:t>Yes</w:t>
            </w:r>
          </w:p>
        </w:tc>
        <w:tc>
          <w:tcPr>
            <w:tcW w:w="2436" w:type="dxa"/>
          </w:tcPr>
          <w:p w14:paraId="516E409F" w14:textId="2D73AEE3" w:rsidR="00482E20" w:rsidRDefault="00482E20" w:rsidP="00336053">
            <w:pPr>
              <w:spacing w:before="100" w:beforeAutospacing="1" w:after="120"/>
              <w:jc w:val="center"/>
            </w:pPr>
            <w:r>
              <w:t>Yes</w:t>
            </w:r>
          </w:p>
        </w:tc>
        <w:tc>
          <w:tcPr>
            <w:tcW w:w="2436" w:type="dxa"/>
          </w:tcPr>
          <w:p w14:paraId="0DB20282" w14:textId="71E9ADCA" w:rsidR="00482E20" w:rsidRDefault="00482E20" w:rsidP="00336053">
            <w:pPr>
              <w:spacing w:before="100" w:beforeAutospacing="1" w:after="120"/>
              <w:jc w:val="center"/>
            </w:pPr>
            <w:r>
              <w:t>No (requires</w:t>
            </w:r>
            <w:r w:rsidR="00872F7D">
              <w:t xml:space="preserve"> full</w:t>
            </w:r>
            <w:r>
              <w:t xml:space="preserve"> L3 HO)</w:t>
            </w:r>
          </w:p>
        </w:tc>
      </w:tr>
      <w:tr w:rsidR="00A9149F" w:rsidRPr="00960D71" w14:paraId="607229F1" w14:textId="77777777" w:rsidTr="00336053">
        <w:tc>
          <w:tcPr>
            <w:tcW w:w="2654" w:type="dxa"/>
          </w:tcPr>
          <w:p w14:paraId="6B9ED3F3" w14:textId="0EE3B1AE" w:rsidR="00A9149F" w:rsidRDefault="00A9149F" w:rsidP="002644BB">
            <w:pPr>
              <w:spacing w:before="100" w:beforeAutospacing="1" w:after="120"/>
              <w:jc w:val="center"/>
            </w:pPr>
            <w:r>
              <w:t>CP latency</w:t>
            </w:r>
          </w:p>
        </w:tc>
        <w:tc>
          <w:tcPr>
            <w:tcW w:w="2436" w:type="dxa"/>
          </w:tcPr>
          <w:p w14:paraId="47360D6F" w14:textId="2A42C3C9" w:rsidR="00A9149F" w:rsidRDefault="009E33DF" w:rsidP="002644BB">
            <w:pPr>
              <w:spacing w:before="100" w:beforeAutospacing="1" w:after="120"/>
              <w:jc w:val="center"/>
            </w:pPr>
            <w:r>
              <w:t>Higher (</w:t>
            </w:r>
            <w:r w:rsidR="00A9149F">
              <w:t>multiple hops</w:t>
            </w:r>
            <w:r>
              <w:t xml:space="preserve"> to RRC)</w:t>
            </w:r>
          </w:p>
        </w:tc>
        <w:tc>
          <w:tcPr>
            <w:tcW w:w="2436" w:type="dxa"/>
          </w:tcPr>
          <w:p w14:paraId="7FAE3469" w14:textId="6B8676BE" w:rsidR="00A9149F" w:rsidRDefault="009E33DF" w:rsidP="002644BB">
            <w:pPr>
              <w:spacing w:before="100" w:beforeAutospacing="1" w:after="120"/>
              <w:jc w:val="center"/>
            </w:pPr>
            <w:r>
              <w:t>Higher (</w:t>
            </w:r>
            <w:r w:rsidR="00A9149F">
              <w:t>multiple hops</w:t>
            </w:r>
            <w:r>
              <w:t xml:space="preserve"> to RRC)</w:t>
            </w:r>
          </w:p>
        </w:tc>
        <w:tc>
          <w:tcPr>
            <w:tcW w:w="2436" w:type="dxa"/>
          </w:tcPr>
          <w:p w14:paraId="591D9F39" w14:textId="01AAF381" w:rsidR="00A9149F" w:rsidRDefault="009E33DF" w:rsidP="002644BB">
            <w:pPr>
              <w:spacing w:before="100" w:beforeAutospacing="1" w:after="120"/>
              <w:jc w:val="center"/>
            </w:pPr>
            <w:r>
              <w:t>Lower (</w:t>
            </w:r>
            <w:r w:rsidR="00A9149F">
              <w:t>RRC at IAB node</w:t>
            </w:r>
            <w:r>
              <w:t>)</w:t>
            </w:r>
          </w:p>
        </w:tc>
      </w:tr>
      <w:tr w:rsidR="00F11EC8" w:rsidRPr="00960D71" w14:paraId="18611283" w14:textId="77777777" w:rsidTr="00336053">
        <w:tc>
          <w:tcPr>
            <w:tcW w:w="2654" w:type="dxa"/>
          </w:tcPr>
          <w:p w14:paraId="0E9C3125" w14:textId="7A6700B4" w:rsidR="00F11EC8" w:rsidRDefault="00F11EC8" w:rsidP="002644BB">
            <w:pPr>
              <w:spacing w:before="100" w:beforeAutospacing="1" w:after="120"/>
              <w:jc w:val="center"/>
            </w:pPr>
            <w:r>
              <w:t>Inter-CU mobility of IAB node</w:t>
            </w:r>
          </w:p>
        </w:tc>
        <w:tc>
          <w:tcPr>
            <w:tcW w:w="2436" w:type="dxa"/>
          </w:tcPr>
          <w:p w14:paraId="19160D1E" w14:textId="10ADC2C7" w:rsidR="00F11EC8" w:rsidRDefault="00F11EC8" w:rsidP="002644BB">
            <w:pPr>
              <w:spacing w:before="100" w:beforeAutospacing="1" w:after="120"/>
              <w:jc w:val="center"/>
            </w:pPr>
            <w:r>
              <w:t>More complex (need F1 relocation)</w:t>
            </w:r>
          </w:p>
        </w:tc>
        <w:tc>
          <w:tcPr>
            <w:tcW w:w="2436" w:type="dxa"/>
          </w:tcPr>
          <w:p w14:paraId="7E0205F8" w14:textId="0D8FB2F7" w:rsidR="00F11EC8" w:rsidRDefault="00F11EC8" w:rsidP="002644BB">
            <w:pPr>
              <w:spacing w:before="100" w:beforeAutospacing="1" w:after="120"/>
              <w:jc w:val="center"/>
            </w:pPr>
            <w:r>
              <w:t>More complex (need F1 relocation)</w:t>
            </w:r>
          </w:p>
        </w:tc>
        <w:tc>
          <w:tcPr>
            <w:tcW w:w="2436" w:type="dxa"/>
          </w:tcPr>
          <w:p w14:paraId="2EAC05A3" w14:textId="0CED68DD" w:rsidR="00F11EC8" w:rsidRDefault="00F11EC8" w:rsidP="002644BB">
            <w:pPr>
              <w:spacing w:before="100" w:beforeAutospacing="1" w:after="120"/>
              <w:jc w:val="center"/>
            </w:pPr>
            <w:r>
              <w:t>Less complex</w:t>
            </w:r>
          </w:p>
        </w:tc>
      </w:tr>
      <w:tr w:rsidR="00336053" w:rsidRPr="00960D71" w14:paraId="3E86E88A" w14:textId="77777777" w:rsidTr="00336053">
        <w:tc>
          <w:tcPr>
            <w:tcW w:w="2654" w:type="dxa"/>
          </w:tcPr>
          <w:p w14:paraId="0C7B4DBE" w14:textId="6AB4435A" w:rsidR="00336053" w:rsidRPr="00960D71" w:rsidRDefault="00336053" w:rsidP="002644BB">
            <w:pPr>
              <w:spacing w:before="100" w:beforeAutospacing="1" w:after="120"/>
              <w:jc w:val="center"/>
              <w:rPr>
                <w:rFonts w:asciiTheme="minorHAnsi" w:hAnsiTheme="minorHAnsi"/>
                <w:sz w:val="22"/>
                <w:lang w:eastAsia="en-US"/>
              </w:rPr>
            </w:pPr>
            <w:r>
              <w:rPr>
                <w:rFonts w:asciiTheme="minorHAnsi" w:hAnsiTheme="minorHAnsi"/>
                <w:sz w:val="22"/>
                <w:lang w:eastAsia="en-US"/>
              </w:rPr>
              <w:t>Standardization areas</w:t>
            </w:r>
          </w:p>
        </w:tc>
        <w:tc>
          <w:tcPr>
            <w:tcW w:w="2436" w:type="dxa"/>
          </w:tcPr>
          <w:p w14:paraId="71622BF1" w14:textId="0561EDEB" w:rsidR="00336053" w:rsidRPr="00960D71" w:rsidRDefault="00336053" w:rsidP="002644BB">
            <w:pPr>
              <w:spacing w:before="100" w:beforeAutospacing="1" w:after="120"/>
              <w:jc w:val="center"/>
              <w:rPr>
                <w:rFonts w:asciiTheme="minorHAnsi" w:hAnsiTheme="minorHAnsi"/>
                <w:sz w:val="22"/>
                <w:lang w:eastAsia="en-US"/>
              </w:rPr>
            </w:pPr>
            <w:r>
              <w:rPr>
                <w:rFonts w:asciiTheme="minorHAnsi" w:hAnsiTheme="minorHAnsi"/>
                <w:sz w:val="22"/>
                <w:lang w:eastAsia="en-US"/>
              </w:rPr>
              <w:t>RAN</w:t>
            </w:r>
          </w:p>
        </w:tc>
        <w:tc>
          <w:tcPr>
            <w:tcW w:w="2436" w:type="dxa"/>
          </w:tcPr>
          <w:p w14:paraId="5E3CA60C" w14:textId="76CEC740" w:rsidR="00336053" w:rsidRPr="00960D71" w:rsidRDefault="00336053" w:rsidP="002644BB">
            <w:pPr>
              <w:spacing w:before="100" w:beforeAutospacing="1" w:after="120"/>
              <w:jc w:val="center"/>
            </w:pPr>
            <w:r>
              <w:t>RAN</w:t>
            </w:r>
          </w:p>
        </w:tc>
        <w:tc>
          <w:tcPr>
            <w:tcW w:w="2436" w:type="dxa"/>
          </w:tcPr>
          <w:p w14:paraId="57BB10F8" w14:textId="6E591E7A" w:rsidR="00336053" w:rsidRPr="00960D71" w:rsidRDefault="00336053" w:rsidP="002644BB">
            <w:pPr>
              <w:spacing w:before="100" w:beforeAutospacing="1" w:after="120"/>
              <w:jc w:val="center"/>
              <w:rPr>
                <w:rFonts w:asciiTheme="minorHAnsi" w:hAnsiTheme="minorHAnsi"/>
                <w:sz w:val="22"/>
                <w:lang w:eastAsia="en-US"/>
              </w:rPr>
            </w:pPr>
            <w:r>
              <w:rPr>
                <w:rFonts w:asciiTheme="minorHAnsi" w:hAnsiTheme="minorHAnsi"/>
                <w:sz w:val="22"/>
                <w:lang w:eastAsia="en-US"/>
              </w:rPr>
              <w:t>RAN &amp; CN</w:t>
            </w:r>
          </w:p>
        </w:tc>
      </w:tr>
      <w:tr w:rsidR="00336053" w:rsidRPr="00960D71" w14:paraId="451D8C8A" w14:textId="77777777" w:rsidTr="00336053">
        <w:tc>
          <w:tcPr>
            <w:tcW w:w="2654" w:type="dxa"/>
          </w:tcPr>
          <w:p w14:paraId="5893C5EE" w14:textId="1990D245" w:rsidR="00336053" w:rsidRPr="00960D71" w:rsidRDefault="00336053" w:rsidP="002644BB">
            <w:pPr>
              <w:spacing w:before="100" w:beforeAutospacing="1" w:after="120"/>
              <w:jc w:val="center"/>
              <w:rPr>
                <w:rFonts w:asciiTheme="minorHAnsi" w:hAnsiTheme="minorHAnsi"/>
                <w:sz w:val="22"/>
                <w:lang w:eastAsia="en-US"/>
              </w:rPr>
            </w:pPr>
            <w:r>
              <w:rPr>
                <w:rFonts w:asciiTheme="minorHAnsi" w:hAnsiTheme="minorHAnsi"/>
                <w:sz w:val="22"/>
                <w:lang w:eastAsia="en-US"/>
              </w:rPr>
              <w:t>Standardization effort</w:t>
            </w:r>
          </w:p>
        </w:tc>
        <w:tc>
          <w:tcPr>
            <w:tcW w:w="2436" w:type="dxa"/>
          </w:tcPr>
          <w:p w14:paraId="381D2676" w14:textId="05448143" w:rsidR="00336053" w:rsidRPr="00960D71" w:rsidRDefault="00336053" w:rsidP="002644BB">
            <w:pPr>
              <w:spacing w:before="100" w:beforeAutospacing="1" w:after="120"/>
              <w:jc w:val="center"/>
              <w:rPr>
                <w:rFonts w:asciiTheme="minorHAnsi" w:hAnsiTheme="minorHAnsi"/>
                <w:sz w:val="22"/>
                <w:lang w:eastAsia="en-US"/>
              </w:rPr>
            </w:pPr>
            <w:r>
              <w:rPr>
                <w:rFonts w:asciiTheme="minorHAnsi" w:hAnsiTheme="minorHAnsi"/>
                <w:sz w:val="22"/>
                <w:lang w:eastAsia="en-US"/>
              </w:rPr>
              <w:t>Higher</w:t>
            </w:r>
          </w:p>
        </w:tc>
        <w:tc>
          <w:tcPr>
            <w:tcW w:w="2436" w:type="dxa"/>
          </w:tcPr>
          <w:p w14:paraId="51593F07" w14:textId="48074FA6" w:rsidR="00336053" w:rsidRPr="00960D71" w:rsidRDefault="00336053" w:rsidP="002644BB">
            <w:pPr>
              <w:spacing w:before="100" w:beforeAutospacing="1" w:after="120"/>
              <w:jc w:val="center"/>
            </w:pPr>
            <w:r>
              <w:t>Higher</w:t>
            </w:r>
          </w:p>
        </w:tc>
        <w:tc>
          <w:tcPr>
            <w:tcW w:w="2436" w:type="dxa"/>
          </w:tcPr>
          <w:p w14:paraId="67D3D84A" w14:textId="25055DA2" w:rsidR="00336053" w:rsidRPr="00960D71" w:rsidRDefault="00336053" w:rsidP="002644BB">
            <w:pPr>
              <w:spacing w:before="100" w:beforeAutospacing="1" w:after="120"/>
              <w:jc w:val="center"/>
              <w:rPr>
                <w:rFonts w:asciiTheme="minorHAnsi" w:hAnsiTheme="minorHAnsi"/>
                <w:sz w:val="22"/>
                <w:lang w:eastAsia="en-US"/>
              </w:rPr>
            </w:pPr>
            <w:r>
              <w:rPr>
                <w:rFonts w:asciiTheme="minorHAnsi" w:hAnsiTheme="minorHAnsi"/>
                <w:sz w:val="22"/>
                <w:lang w:eastAsia="en-US"/>
              </w:rPr>
              <w:t>Lower</w:t>
            </w:r>
          </w:p>
        </w:tc>
      </w:tr>
    </w:tbl>
    <w:p w14:paraId="53BB27F9" w14:textId="10330A7E" w:rsidR="00960D71" w:rsidRDefault="00960D71" w:rsidP="00960D71">
      <w:pPr>
        <w:spacing w:after="0"/>
        <w:jc w:val="center"/>
        <w:rPr>
          <w:sz w:val="24"/>
        </w:rPr>
      </w:pPr>
    </w:p>
    <w:p w14:paraId="112631C8" w14:textId="01508D5E" w:rsidR="0099741C" w:rsidRPr="0099741C" w:rsidRDefault="0099741C" w:rsidP="00960D71">
      <w:pPr>
        <w:spacing w:after="0"/>
        <w:jc w:val="center"/>
      </w:pPr>
    </w:p>
    <w:p w14:paraId="77D94D5D" w14:textId="0DA0F43F" w:rsidR="00273151" w:rsidRDefault="005A6ADD" w:rsidP="00C34D74">
      <w:r>
        <w:lastRenderedPageBreak/>
        <w:t>Focusing first on architecture group 1, b</w:t>
      </w:r>
      <w:r w:rsidR="0099741C">
        <w:t>ased on the listed fact</w:t>
      </w:r>
      <w:r>
        <w:t xml:space="preserve">ors for </w:t>
      </w:r>
      <w:r w:rsidR="0099741C">
        <w:t>options 1a and 1b, due to high company interest in</w:t>
      </w:r>
      <w:r w:rsidR="00DD1351">
        <w:t xml:space="preserve"> option 1a, and </w:t>
      </w:r>
      <w:r w:rsidR="0099741C">
        <w:t xml:space="preserve">factors such as </w:t>
      </w:r>
      <w:r w:rsidR="00DD1351">
        <w:t>additional complexity to support NSA architecture, it is proposed that for architecture group 1, only option 1a is selected for the work item phase.</w:t>
      </w:r>
    </w:p>
    <w:p w14:paraId="45B22162" w14:textId="20757888" w:rsidR="00273151" w:rsidRPr="00C34D74" w:rsidRDefault="00273151" w:rsidP="00C34D74">
      <w:pPr>
        <w:rPr>
          <w:b/>
        </w:rPr>
      </w:pPr>
      <w:r w:rsidRPr="006D2961">
        <w:rPr>
          <w:b/>
        </w:rPr>
        <w:t xml:space="preserve">Observation 1: Within architecture </w:t>
      </w:r>
      <w:r w:rsidR="00264DB8">
        <w:rPr>
          <w:b/>
        </w:rPr>
        <w:t>group 1, architecture 1a has the highest</w:t>
      </w:r>
      <w:r w:rsidR="00B05E07">
        <w:rPr>
          <w:b/>
        </w:rPr>
        <w:t xml:space="preserve"> interest amongst</w:t>
      </w:r>
      <w:r w:rsidRPr="006D2961">
        <w:rPr>
          <w:b/>
        </w:rPr>
        <w:t xml:space="preserve"> companies</w:t>
      </w:r>
      <w:r w:rsidR="00B05E07">
        <w:rPr>
          <w:b/>
        </w:rPr>
        <w:t xml:space="preserve"> contributing to the IAB SI</w:t>
      </w:r>
      <w:r w:rsidRPr="006D2961">
        <w:rPr>
          <w:b/>
        </w:rPr>
        <w:t>.</w:t>
      </w:r>
    </w:p>
    <w:p w14:paraId="28A68F5B" w14:textId="06E76FE1" w:rsidR="003A267A" w:rsidRDefault="008D24B6" w:rsidP="003D0616">
      <w:pPr>
        <w:rPr>
          <w:b/>
        </w:rPr>
      </w:pPr>
      <w:r>
        <w:rPr>
          <w:b/>
        </w:rPr>
        <w:t>Proposal 1</w:t>
      </w:r>
      <w:r w:rsidR="00A00718" w:rsidRPr="0081221B">
        <w:rPr>
          <w:b/>
        </w:rPr>
        <w:t xml:space="preserve">: </w:t>
      </w:r>
      <w:r w:rsidR="00DD1351">
        <w:rPr>
          <w:b/>
        </w:rPr>
        <w:t>For architecture group 1, due to high company interes</w:t>
      </w:r>
      <w:r w:rsidR="003E1245">
        <w:rPr>
          <w:b/>
        </w:rPr>
        <w:t>t in option 1a and other factors, only option 1a should be considered for standardization in the work item phase</w:t>
      </w:r>
      <w:r w:rsidR="0081221B" w:rsidRPr="0081221B">
        <w:rPr>
          <w:b/>
        </w:rPr>
        <w:t xml:space="preserve">. </w:t>
      </w:r>
    </w:p>
    <w:p w14:paraId="18BBE36C" w14:textId="77777777" w:rsidR="005A6ADD" w:rsidRDefault="009D0591" w:rsidP="003D0616">
      <w:r>
        <w:t xml:space="preserve">Between architecture option 1a and 2a, it is clear that these two architecture options have very different strengths. For operators deploying NR using a CU-DU split architecture from the initial deployments, architecture 1a is a much more natural choice. This is also reflected by the very high interest in this architecture option from companies contributing to the IAB SI. </w:t>
      </w:r>
      <w:r w:rsidR="0075772F">
        <w:t>Also, for operators that start their NR deployments using non-standalone (NSA) architecture, IAB architecture option 1a is also a more natural choice. Additionally, operators that are very interested in network deployment based on CRAN/NFV principles to leverage benefits of centralization and virtualization of network functions, should also be more inclined to select architecture 1a compared to architecture 2a.</w:t>
      </w:r>
      <w:r w:rsidR="00362D9F">
        <w:t xml:space="preserve"> </w:t>
      </w:r>
    </w:p>
    <w:p w14:paraId="027DA5C0" w14:textId="77777777" w:rsidR="00BC18F9" w:rsidRDefault="0075772F" w:rsidP="00BC18F9">
      <w:r>
        <w:t>On the contrary, operators that are planning to deploy NR using traditional distributed architecture with full standalone</w:t>
      </w:r>
      <w:r w:rsidR="00362D9F">
        <w:t xml:space="preserve"> base stations may find architecture 2a to be a more natural choice. </w:t>
      </w:r>
      <w:r w:rsidR="00BC18F9">
        <w:t xml:space="preserve">Architecture 2a offers several advantages over architecture 1a in the form of much lower control plane latency, since the RRC is resident directly on the IAB node, while in architecture 1a the RRC may be one or more hops away. Furthermore, architecture 2a may require less standardization work since the layer 2 RAN protocol stack layers do not need to be modified. Due to these reasons one can argue that architecture 2a may also require less development work compared to architecture 1a. </w:t>
      </w:r>
    </w:p>
    <w:p w14:paraId="7E72D029" w14:textId="623C27C6" w:rsidR="00BC18F9" w:rsidRPr="00BC18F9" w:rsidRDefault="006D2961" w:rsidP="003D0616">
      <w:pPr>
        <w:rPr>
          <w:b/>
        </w:rPr>
      </w:pPr>
      <w:r>
        <w:rPr>
          <w:b/>
        </w:rPr>
        <w:t>Observation 2</w:t>
      </w:r>
      <w:r w:rsidR="00BC18F9" w:rsidRPr="00BC18F9">
        <w:rPr>
          <w:b/>
        </w:rPr>
        <w:t>: Both architecture options 1a and 2a have their own unique strengths</w:t>
      </w:r>
      <w:r w:rsidR="00BC18F9">
        <w:rPr>
          <w:b/>
        </w:rPr>
        <w:t>.</w:t>
      </w:r>
    </w:p>
    <w:p w14:paraId="151A0B04" w14:textId="1562745C" w:rsidR="0075772F" w:rsidRPr="009D0591" w:rsidRDefault="005A6ADD" w:rsidP="003D0616">
      <w:r>
        <w:t xml:space="preserve">However, one can argue that even for an operator with monolithic </w:t>
      </w:r>
      <w:proofErr w:type="spellStart"/>
      <w:r>
        <w:t>gNB</w:t>
      </w:r>
      <w:proofErr w:type="spellEnd"/>
      <w:r>
        <w:t xml:space="preserve"> deployment, IAB deployments using architecture 1a can </w:t>
      </w:r>
      <w:r w:rsidR="007962E4">
        <w:t>quite easily be added to such a network</w:t>
      </w:r>
      <w:r w:rsidR="00F234A0">
        <w:t xml:space="preserve"> without any issues. For example, let’s say in a market where the deployed NR network is based on monolithic </w:t>
      </w:r>
      <w:proofErr w:type="spellStart"/>
      <w:r w:rsidR="00F234A0">
        <w:t>gNBs</w:t>
      </w:r>
      <w:proofErr w:type="spellEnd"/>
      <w:r w:rsidR="00F234A0">
        <w:t xml:space="preserve">, there could be certain dense urban areas with limited access to fiber and lack of NR coverage. An option 1a based IAB network could easily be deployed in such areas to quickly provide NR service, while co-existing with the broader monolithic </w:t>
      </w:r>
      <w:proofErr w:type="spellStart"/>
      <w:r w:rsidR="00F234A0">
        <w:t>gNB</w:t>
      </w:r>
      <w:proofErr w:type="spellEnd"/>
      <w:r w:rsidR="00F234A0">
        <w:t xml:space="preserve">-based NR network. </w:t>
      </w:r>
    </w:p>
    <w:p w14:paraId="275C11AE" w14:textId="59C9CA1E" w:rsidR="003E1245" w:rsidRDefault="00F234A0" w:rsidP="003D0616">
      <w:r>
        <w:t>One of the touted advantages of</w:t>
      </w:r>
      <w:r w:rsidR="000D540F">
        <w:t xml:space="preserve"> architecture 2a is </w:t>
      </w:r>
      <w:r>
        <w:t xml:space="preserve">that it is </w:t>
      </w:r>
      <w:r w:rsidR="000D540F">
        <w:t>capable of backhauling LTE and non-3GPP traffic whi</w:t>
      </w:r>
      <w:r>
        <w:t>le architecture group 1 is not. I</w:t>
      </w:r>
      <w:r w:rsidR="000D540F">
        <w:t>t can b</w:t>
      </w:r>
      <w:r>
        <w:t xml:space="preserve">e shown quite readily that </w:t>
      </w:r>
      <w:r w:rsidR="000D540F">
        <w:t>architecture 1a is equally capable to backhauling LTE and non-3GPP traffic</w:t>
      </w:r>
      <w:r>
        <w:t xml:space="preserve"> with only minor enhancements</w:t>
      </w:r>
      <w:r w:rsidR="000D540F">
        <w:t>. A rece</w:t>
      </w:r>
      <w:r>
        <w:t>nt RAN3 contribution [2] points out that a</w:t>
      </w:r>
      <w:r w:rsidR="000D540F">
        <w:t>lternative e of architecture 1a is capable of backhauling LTE and non-3GPP traffic. Additionally, Annex A illustrates a</w:t>
      </w:r>
      <w:r w:rsidR="00224B24">
        <w:t>n example UP</w:t>
      </w:r>
      <w:r>
        <w:t xml:space="preserve"> protocol stack showing</w:t>
      </w:r>
      <w:r w:rsidR="000D540F">
        <w:t xml:space="preserve"> how </w:t>
      </w:r>
      <w:r w:rsidR="00224B24">
        <w:t xml:space="preserve">LTE traffic (or for that matter any non-3GPP traffic) </w:t>
      </w:r>
      <w:r w:rsidR="000D540F">
        <w:t xml:space="preserve">can be backhauled via an IP tunnel through a bearer of the MT of an IAB node.  </w:t>
      </w:r>
    </w:p>
    <w:p w14:paraId="6E289325" w14:textId="570E6B14" w:rsidR="000D540F" w:rsidRDefault="00ED315D" w:rsidP="00224B24">
      <w:r>
        <w:t xml:space="preserve">One additional area of consideration is related to security risk related to the IAB network. Since the purpose of IAB is to </w:t>
      </w:r>
      <w:r w:rsidR="003F5A1C">
        <w:t>enable faster deployments without the need for fiber access to the deployment site, and since one of the primary use cases for IAB is deployment in FR2 bands, one of the most common deployment scenarios for IAB nodes is expected to be on street light poles or such places that are inherently difficult to secure. Since IAB nodes in architecture 1a carry only the lower RAN protocol stack layers while the security functions reside in a secure centralized place, architecture 1a inherently offers a lower security risk to the network.</w:t>
      </w:r>
      <w:r w:rsidR="00BC18F9">
        <w:t xml:space="preserve"> So perhaps architecture 2a may be suitable for deployment in non-public areas that are inherently more secure. However, architecture 1a could equally be deployed in such inherently public areas as well. </w:t>
      </w:r>
    </w:p>
    <w:p w14:paraId="628731D2" w14:textId="77777777" w:rsidR="00791191" w:rsidRDefault="00BC18F9" w:rsidP="00224B24">
      <w:r>
        <w:lastRenderedPageBreak/>
        <w:t xml:space="preserve">Hence, there may be several targeted deployment scenarios for architecture 2a for which architecture 1a may also be equally suitable. </w:t>
      </w:r>
    </w:p>
    <w:p w14:paraId="7D449EB1" w14:textId="0EB25795" w:rsidR="00791191" w:rsidRPr="00791191" w:rsidRDefault="006D2961" w:rsidP="00224B24">
      <w:pPr>
        <w:rPr>
          <w:b/>
        </w:rPr>
      </w:pPr>
      <w:r>
        <w:rPr>
          <w:b/>
        </w:rPr>
        <w:t>Observation 3</w:t>
      </w:r>
      <w:r w:rsidR="00791191" w:rsidRPr="00791191">
        <w:rPr>
          <w:b/>
        </w:rPr>
        <w:t>: There may be targeted deployment scenarios for architecture 2a for which architecture 1</w:t>
      </w:r>
      <w:r w:rsidR="00791191">
        <w:rPr>
          <w:b/>
        </w:rPr>
        <w:t>a may also be equally suitable.</w:t>
      </w:r>
    </w:p>
    <w:p w14:paraId="77F02628" w14:textId="5ADE4166" w:rsidR="008856F1" w:rsidRDefault="00BC18F9" w:rsidP="00224B24">
      <w:r>
        <w:t>Si</w:t>
      </w:r>
      <w:r w:rsidR="00F11EC8">
        <w:t xml:space="preserve">nce both </w:t>
      </w:r>
      <w:r>
        <w:t xml:space="preserve">architecture </w:t>
      </w:r>
      <w:r w:rsidR="00F11EC8">
        <w:t xml:space="preserve">options </w:t>
      </w:r>
      <w:r>
        <w:t xml:space="preserve">1a and 2a </w:t>
      </w:r>
      <w:r w:rsidR="00791191">
        <w:t xml:space="preserve">do </w:t>
      </w:r>
      <w:r>
        <w:t xml:space="preserve">have their own unique strengths, there may be a need to evaluate which deployment scenarios and use cases </w:t>
      </w:r>
      <w:r w:rsidR="00F11EC8">
        <w:t>that are exclusively applicable to each architecture option. For example</w:t>
      </w:r>
      <w:r w:rsidR="008856F1">
        <w:t>,</w:t>
      </w:r>
      <w:r w:rsidR="00F11EC8">
        <w:t xml:space="preserve"> perhaps in their current proposed forms architecture 2a may be more suitable </w:t>
      </w:r>
      <w:r w:rsidR="008856F1">
        <w:t>than</w:t>
      </w:r>
      <w:r w:rsidR="00F11EC8">
        <w:t xml:space="preserve"> arch</w:t>
      </w:r>
      <w:r w:rsidR="008856F1">
        <w:t>itecture 1a for use cases where significant inter-CU mobility is expected, or perhaps where very tight control plane latency is critical, but the user plane may tolerate latency over multiple hops</w:t>
      </w:r>
      <w:r>
        <w:t>.</w:t>
      </w:r>
    </w:p>
    <w:p w14:paraId="5BA20ABB" w14:textId="115E2F2C" w:rsidR="008856F1" w:rsidRPr="008856F1" w:rsidRDefault="006D2961" w:rsidP="00224B24">
      <w:pPr>
        <w:rPr>
          <w:b/>
        </w:rPr>
      </w:pPr>
      <w:r>
        <w:rPr>
          <w:b/>
        </w:rPr>
        <w:t>Observation 4</w:t>
      </w:r>
      <w:r w:rsidR="008856F1" w:rsidRPr="008856F1">
        <w:rPr>
          <w:b/>
        </w:rPr>
        <w:t>: There may be a need to identify unique deployment scenarios and use cases that are exclusively applicable to architecture option</w:t>
      </w:r>
      <w:r w:rsidR="00915DB8">
        <w:rPr>
          <w:b/>
        </w:rPr>
        <w:t>s</w:t>
      </w:r>
      <w:r w:rsidR="008856F1" w:rsidRPr="008856F1">
        <w:rPr>
          <w:b/>
        </w:rPr>
        <w:t xml:space="preserve"> 1a vs. 2a.</w:t>
      </w:r>
    </w:p>
    <w:p w14:paraId="04D70C1A" w14:textId="77777777" w:rsidR="008856F1" w:rsidRDefault="008856F1" w:rsidP="00224B24">
      <w:r>
        <w:t>Regardless of the above discussion, it is quite evident that architecture 1a has very widespread applicability over a range of deployment scenarios and seems to have the highest interest amongst companies contributing to the IAB SI based on number of contributions over the course of the entire SI. Hence, architecture 1a must take the highest priority for standardization going into the work item phase in Release 16.</w:t>
      </w:r>
    </w:p>
    <w:p w14:paraId="35F8667A" w14:textId="7F286EB3" w:rsidR="003F5A1C" w:rsidRPr="00273151" w:rsidRDefault="008856F1" w:rsidP="00224B24">
      <w:pPr>
        <w:rPr>
          <w:b/>
        </w:rPr>
      </w:pPr>
      <w:r w:rsidRPr="00273151">
        <w:rPr>
          <w:b/>
        </w:rPr>
        <w:t>Proposal 1: Architecture option 1a must have the highest priority for standardization in the</w:t>
      </w:r>
      <w:r w:rsidR="00273151">
        <w:rPr>
          <w:b/>
        </w:rPr>
        <w:t xml:space="preserve"> work item phase in Release 16.</w:t>
      </w:r>
      <w:r w:rsidR="00BC18F9">
        <w:t xml:space="preserve"> </w:t>
      </w:r>
    </w:p>
    <w:p w14:paraId="521445A1" w14:textId="78EC2A88" w:rsidR="00DF1D05" w:rsidRPr="0081221B" w:rsidRDefault="008D24B6" w:rsidP="003D0616">
      <w:pPr>
        <w:rPr>
          <w:b/>
        </w:rPr>
      </w:pPr>
      <w:r>
        <w:rPr>
          <w:b/>
        </w:rPr>
        <w:t>Proposal 2</w:t>
      </w:r>
      <w:r w:rsidR="008856F1">
        <w:rPr>
          <w:b/>
        </w:rPr>
        <w:t>: Unique deployment scenarios and use cases for architecture 2a should be ident</w:t>
      </w:r>
      <w:r w:rsidR="00F639CE">
        <w:rPr>
          <w:b/>
        </w:rPr>
        <w:t xml:space="preserve">ified, following which it can be </w:t>
      </w:r>
      <w:r w:rsidR="008856F1">
        <w:rPr>
          <w:b/>
        </w:rPr>
        <w:t>considered for standardizati</w:t>
      </w:r>
      <w:r w:rsidR="00F639CE">
        <w:rPr>
          <w:b/>
        </w:rPr>
        <w:t>on</w:t>
      </w:r>
      <w:r w:rsidR="00273151">
        <w:rPr>
          <w:b/>
        </w:rPr>
        <w:t xml:space="preserve">, but </w:t>
      </w:r>
      <w:r w:rsidR="00475059">
        <w:rPr>
          <w:b/>
        </w:rPr>
        <w:t xml:space="preserve">only </w:t>
      </w:r>
      <w:r w:rsidR="00273151">
        <w:rPr>
          <w:b/>
        </w:rPr>
        <w:t xml:space="preserve">after </w:t>
      </w:r>
      <w:r w:rsidR="00267C30">
        <w:rPr>
          <w:b/>
        </w:rPr>
        <w:t xml:space="preserve">the standardization work for </w:t>
      </w:r>
      <w:r w:rsidR="00273151">
        <w:rPr>
          <w:b/>
        </w:rPr>
        <w:t>architecture 1a</w:t>
      </w:r>
      <w:r w:rsidR="00267C30">
        <w:rPr>
          <w:b/>
        </w:rPr>
        <w:t xml:space="preserve"> is completed</w:t>
      </w:r>
      <w:r w:rsidR="002403D2">
        <w:rPr>
          <w:b/>
        </w:rPr>
        <w:t>.</w:t>
      </w:r>
    </w:p>
    <w:p w14:paraId="70C82586" w14:textId="6A5BE23B" w:rsidR="008D04DC" w:rsidRDefault="007C3145" w:rsidP="008D04DC">
      <w:pPr>
        <w:pStyle w:val="Heading1"/>
      </w:pPr>
      <w:r>
        <w:t>Conclusion</w:t>
      </w:r>
    </w:p>
    <w:p w14:paraId="5D3F33F4" w14:textId="525C99B1" w:rsidR="00F35C83" w:rsidRDefault="00312B92" w:rsidP="00F35C83">
      <w:pPr>
        <w:rPr>
          <w:b/>
          <w:lang w:val="en-GB"/>
        </w:rPr>
      </w:pPr>
      <w:bookmarkStart w:id="4" w:name="_Hlk528883272"/>
      <w:r>
        <w:rPr>
          <w:lang w:val="en-GB"/>
        </w:rPr>
        <w:t>I</w:t>
      </w:r>
      <w:r w:rsidR="00987D62">
        <w:rPr>
          <w:lang w:val="en-GB"/>
        </w:rPr>
        <w:t>n the interest of continuing to make progress on IAB standardization</w:t>
      </w:r>
      <w:r>
        <w:rPr>
          <w:lang w:val="en-GB"/>
        </w:rPr>
        <w:t xml:space="preserve">, in this document we proposed a way forward regarding </w:t>
      </w:r>
      <w:bookmarkEnd w:id="4"/>
      <w:r w:rsidR="00C870DB">
        <w:rPr>
          <w:lang w:val="en-GB"/>
        </w:rPr>
        <w:t>the architecture selection going into the work item phase in Release 16. The following observations and proposals were offered for consideration:</w:t>
      </w:r>
    </w:p>
    <w:p w14:paraId="317662D4" w14:textId="7060B96B" w:rsidR="00C34D74" w:rsidRPr="006D2961" w:rsidRDefault="00C34D74" w:rsidP="00C34D74">
      <w:pPr>
        <w:rPr>
          <w:b/>
        </w:rPr>
      </w:pPr>
      <w:r w:rsidRPr="006D2961">
        <w:rPr>
          <w:b/>
        </w:rPr>
        <w:t xml:space="preserve">Observation 1: Within architecture </w:t>
      </w:r>
      <w:r w:rsidR="00264DB8">
        <w:rPr>
          <w:b/>
        </w:rPr>
        <w:t>group 1, architecture 1a has the highest</w:t>
      </w:r>
      <w:r w:rsidRPr="006D2961">
        <w:rPr>
          <w:b/>
        </w:rPr>
        <w:t xml:space="preserve"> interest amongst companies</w:t>
      </w:r>
      <w:r w:rsidR="00B05E07">
        <w:rPr>
          <w:b/>
        </w:rPr>
        <w:t xml:space="preserve"> contributing to the IAB SI</w:t>
      </w:r>
      <w:r w:rsidRPr="006D2961">
        <w:rPr>
          <w:b/>
        </w:rPr>
        <w:t>.</w:t>
      </w:r>
    </w:p>
    <w:p w14:paraId="7007EA90" w14:textId="77777777" w:rsidR="00C34D74" w:rsidRPr="00BC18F9" w:rsidRDefault="00C34D74" w:rsidP="00C34D74">
      <w:pPr>
        <w:rPr>
          <w:b/>
        </w:rPr>
      </w:pPr>
      <w:r>
        <w:rPr>
          <w:b/>
        </w:rPr>
        <w:t>Observation 2</w:t>
      </w:r>
      <w:r w:rsidRPr="00BC18F9">
        <w:rPr>
          <w:b/>
        </w:rPr>
        <w:t>: Both architecture options 1a and 2a have their own unique strengths</w:t>
      </w:r>
      <w:r>
        <w:rPr>
          <w:b/>
        </w:rPr>
        <w:t>.</w:t>
      </w:r>
    </w:p>
    <w:p w14:paraId="27653984" w14:textId="77777777" w:rsidR="00C34D74" w:rsidRPr="00791191" w:rsidRDefault="00C34D74" w:rsidP="00C34D74">
      <w:pPr>
        <w:rPr>
          <w:b/>
        </w:rPr>
      </w:pPr>
      <w:r>
        <w:rPr>
          <w:b/>
        </w:rPr>
        <w:t>Observation 3</w:t>
      </w:r>
      <w:r w:rsidRPr="00791191">
        <w:rPr>
          <w:b/>
        </w:rPr>
        <w:t>: There may be targeted deployment scenarios for architecture 2a for which architecture 1</w:t>
      </w:r>
      <w:r>
        <w:rPr>
          <w:b/>
        </w:rPr>
        <w:t>a may also be equally suitable.</w:t>
      </w:r>
    </w:p>
    <w:p w14:paraId="7C1ED693" w14:textId="2CF6C131" w:rsidR="00C34D74" w:rsidRPr="008856F1" w:rsidRDefault="00C34D74" w:rsidP="00C34D74">
      <w:pPr>
        <w:rPr>
          <w:b/>
        </w:rPr>
      </w:pPr>
      <w:r>
        <w:rPr>
          <w:b/>
        </w:rPr>
        <w:t>Observation 4</w:t>
      </w:r>
      <w:r w:rsidRPr="008856F1">
        <w:rPr>
          <w:b/>
        </w:rPr>
        <w:t>: There may be a need to identify unique deployment scenarios and use cases that are exclusively applicable to architecture option</w:t>
      </w:r>
      <w:r w:rsidR="00915DB8">
        <w:rPr>
          <w:b/>
        </w:rPr>
        <w:t>s</w:t>
      </w:r>
      <w:r w:rsidRPr="008856F1">
        <w:rPr>
          <w:b/>
        </w:rPr>
        <w:t xml:space="preserve"> 1a vs. 2a.</w:t>
      </w:r>
    </w:p>
    <w:p w14:paraId="670B652C" w14:textId="77777777" w:rsidR="00DD5DA4" w:rsidRPr="0071263F" w:rsidRDefault="00DD5DA4" w:rsidP="00DD5DA4">
      <w:pPr>
        <w:rPr>
          <w:b/>
        </w:rPr>
      </w:pPr>
    </w:p>
    <w:p w14:paraId="2A950BD0" w14:textId="77777777" w:rsidR="00C34D74" w:rsidRPr="00273151" w:rsidRDefault="00C34D74" w:rsidP="00C34D74">
      <w:pPr>
        <w:rPr>
          <w:b/>
        </w:rPr>
      </w:pPr>
      <w:r w:rsidRPr="00273151">
        <w:rPr>
          <w:b/>
        </w:rPr>
        <w:t>Proposal 1: Architecture option 1a must have the highest priority for standardization in the</w:t>
      </w:r>
      <w:r>
        <w:rPr>
          <w:b/>
        </w:rPr>
        <w:t xml:space="preserve"> work item phase in Release 16.</w:t>
      </w:r>
      <w:r>
        <w:t xml:space="preserve"> </w:t>
      </w:r>
    </w:p>
    <w:p w14:paraId="32F2EA7A" w14:textId="0BC73953" w:rsidR="00C34D74" w:rsidRPr="0081221B" w:rsidRDefault="00C34D74" w:rsidP="00C34D74">
      <w:pPr>
        <w:rPr>
          <w:b/>
        </w:rPr>
      </w:pPr>
      <w:r>
        <w:rPr>
          <w:b/>
        </w:rPr>
        <w:t xml:space="preserve">Proposal 2: Unique deployment scenarios and use cases for architecture 2a should be identified, following which it can be considered for standardization, but </w:t>
      </w:r>
      <w:r w:rsidR="00475059">
        <w:rPr>
          <w:b/>
        </w:rPr>
        <w:t xml:space="preserve">only </w:t>
      </w:r>
      <w:r>
        <w:rPr>
          <w:b/>
        </w:rPr>
        <w:t xml:space="preserve">after </w:t>
      </w:r>
      <w:r w:rsidR="00307C59">
        <w:rPr>
          <w:b/>
        </w:rPr>
        <w:t xml:space="preserve">the standardization work for </w:t>
      </w:r>
      <w:r>
        <w:rPr>
          <w:b/>
        </w:rPr>
        <w:t>architecture 1a</w:t>
      </w:r>
      <w:r w:rsidR="00307C59">
        <w:rPr>
          <w:b/>
        </w:rPr>
        <w:t xml:space="preserve"> is completed</w:t>
      </w:r>
      <w:r>
        <w:rPr>
          <w:b/>
        </w:rPr>
        <w:t>.</w:t>
      </w:r>
    </w:p>
    <w:p w14:paraId="3C099C76" w14:textId="65FF6AF8" w:rsidR="00AF2C72" w:rsidRPr="006B13A0" w:rsidRDefault="00AF2C72" w:rsidP="006B13A0">
      <w:pPr>
        <w:pStyle w:val="Heading1"/>
      </w:pPr>
      <w:r>
        <w:lastRenderedPageBreak/>
        <w:t>Reference</w:t>
      </w:r>
      <w:r w:rsidR="00A553C2">
        <w:t>s</w:t>
      </w:r>
    </w:p>
    <w:p w14:paraId="2E2A4F44" w14:textId="0A805B3A" w:rsidR="000D540F" w:rsidRDefault="00443FCB" w:rsidP="000D540F">
      <w:pPr>
        <w:pStyle w:val="2222"/>
        <w:numPr>
          <w:ilvl w:val="0"/>
          <w:numId w:val="2"/>
        </w:numPr>
        <w:spacing w:after="120" w:line="288" w:lineRule="auto"/>
        <w:ind w:left="360" w:firstLineChars="0"/>
        <w:jc w:val="left"/>
        <w:rPr>
          <w:rFonts w:cs="Times New Roman"/>
          <w:lang w:eastAsia="ko-KR"/>
        </w:rPr>
      </w:pPr>
      <w:r>
        <w:rPr>
          <w:rFonts w:cs="Times New Roman"/>
          <w:lang w:eastAsia="ko-KR"/>
        </w:rPr>
        <w:t>3GPP TR 38.874 v0.5.0</w:t>
      </w:r>
      <w:r w:rsidR="007A2D9C">
        <w:rPr>
          <w:rFonts w:cs="Times New Roman"/>
          <w:lang w:eastAsia="ko-KR"/>
        </w:rPr>
        <w:t xml:space="preserve">, </w:t>
      </w:r>
      <w:r>
        <w:rPr>
          <w:rFonts w:cs="Times New Roman"/>
          <w:lang w:eastAsia="ko-KR"/>
        </w:rPr>
        <w:t>Study on Integrated Access and Backhaul; (Release 15)</w:t>
      </w:r>
      <w:r w:rsidR="003577E0" w:rsidRPr="003577E0">
        <w:rPr>
          <w:rFonts w:cs="Times New Roman"/>
          <w:lang w:eastAsia="ko-KR"/>
        </w:rPr>
        <w:t xml:space="preserve">  </w:t>
      </w:r>
    </w:p>
    <w:p w14:paraId="793876B1" w14:textId="61924BD2" w:rsidR="00141B1B" w:rsidRDefault="00141B1B" w:rsidP="00141B1B">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R2-1817809, </w:t>
      </w:r>
      <w:r w:rsidRPr="00141B1B">
        <w:rPr>
          <w:rFonts w:cs="Times New Roman"/>
          <w:lang w:eastAsia="ko-KR"/>
        </w:rPr>
        <w:t>Harmonizing UP alternatives for architecture group 1a</w:t>
      </w:r>
      <w:r>
        <w:rPr>
          <w:rFonts w:cs="Times New Roman"/>
          <w:lang w:eastAsia="ko-KR"/>
        </w:rPr>
        <w:t>, Ericsson, AT&amp;T, KDDI, KT</w:t>
      </w:r>
    </w:p>
    <w:p w14:paraId="3C1CA5F1" w14:textId="3216DEF3" w:rsidR="000D540F" w:rsidRDefault="000D540F" w:rsidP="000D540F">
      <w:pPr>
        <w:pStyle w:val="2222"/>
        <w:spacing w:after="120" w:line="288" w:lineRule="auto"/>
        <w:ind w:firstLineChars="0" w:firstLine="0"/>
        <w:jc w:val="left"/>
        <w:rPr>
          <w:rFonts w:cs="Times New Roman"/>
          <w:lang w:eastAsia="ko-KR"/>
        </w:rPr>
      </w:pPr>
    </w:p>
    <w:p w14:paraId="48422C73" w14:textId="0B28E2F0" w:rsidR="000D540F" w:rsidRPr="006B13A0" w:rsidRDefault="000D540F" w:rsidP="000D540F">
      <w:pPr>
        <w:pStyle w:val="Heading1"/>
      </w:pPr>
      <w:r>
        <w:t>Annex A</w:t>
      </w:r>
    </w:p>
    <w:p w14:paraId="3273E64C" w14:textId="16CEACE2" w:rsidR="000D540F" w:rsidRPr="009E015F" w:rsidRDefault="009E015F" w:rsidP="000D540F">
      <w:pPr>
        <w:pStyle w:val="2222"/>
        <w:spacing w:after="120" w:line="288" w:lineRule="auto"/>
        <w:ind w:firstLineChars="0" w:firstLine="0"/>
        <w:jc w:val="left"/>
        <w:rPr>
          <w:rFonts w:asciiTheme="minorHAnsi" w:hAnsiTheme="minorHAnsi" w:cs="Times New Roman"/>
          <w:sz w:val="22"/>
          <w:lang w:eastAsia="ko-KR"/>
        </w:rPr>
      </w:pPr>
      <w:r>
        <w:rPr>
          <w:rFonts w:asciiTheme="minorHAnsi" w:hAnsiTheme="minorHAnsi" w:cs="Times New Roman"/>
          <w:sz w:val="22"/>
          <w:lang w:eastAsia="ko-KR"/>
        </w:rPr>
        <w:t>UP protocol stack illustrating tunnelling of LTE traffic via architecture option 1a. This</w:t>
      </w:r>
      <w:r w:rsidR="0016453C">
        <w:rPr>
          <w:rFonts w:asciiTheme="minorHAnsi" w:hAnsiTheme="minorHAnsi" w:cs="Times New Roman"/>
          <w:sz w:val="22"/>
          <w:lang w:eastAsia="ko-KR"/>
        </w:rPr>
        <w:t xml:space="preserve"> illustration shows the use of a</w:t>
      </w:r>
      <w:r>
        <w:rPr>
          <w:rFonts w:asciiTheme="minorHAnsi" w:hAnsiTheme="minorHAnsi" w:cs="Times New Roman"/>
          <w:sz w:val="22"/>
          <w:lang w:eastAsia="ko-KR"/>
        </w:rPr>
        <w:t xml:space="preserve">lternative e of architecture option 1a, but any alternative of option 1a may be used. </w:t>
      </w:r>
    </w:p>
    <w:p w14:paraId="510A6C01" w14:textId="18AA78BF" w:rsidR="000D540F" w:rsidRDefault="000D540F" w:rsidP="000D540F">
      <w:pPr>
        <w:pStyle w:val="2222"/>
        <w:spacing w:after="120" w:line="288" w:lineRule="auto"/>
        <w:ind w:firstLineChars="0" w:firstLine="0"/>
        <w:jc w:val="left"/>
        <w:rPr>
          <w:rFonts w:cs="Times New Roman"/>
          <w:lang w:eastAsia="ko-KR"/>
        </w:rPr>
      </w:pPr>
      <w:r>
        <w:rPr>
          <w:rFonts w:cs="Times New Roman"/>
          <w:noProof/>
          <w:lang w:eastAsia="ko-KR"/>
        </w:rPr>
        <w:drawing>
          <wp:inline distT="0" distB="0" distL="0" distR="0" wp14:anchorId="4BD0FD4C" wp14:editId="30466C03">
            <wp:extent cx="6010910" cy="183515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0910" cy="1835150"/>
                    </a:xfrm>
                    <a:prstGeom prst="rect">
                      <a:avLst/>
                    </a:prstGeom>
                    <a:noFill/>
                  </pic:spPr>
                </pic:pic>
              </a:graphicData>
            </a:graphic>
          </wp:inline>
        </w:drawing>
      </w:r>
    </w:p>
    <w:p w14:paraId="44DD9B5F" w14:textId="77777777" w:rsidR="000D540F" w:rsidRPr="000D540F" w:rsidRDefault="000D540F" w:rsidP="000D540F">
      <w:pPr>
        <w:pStyle w:val="2222"/>
        <w:spacing w:after="120" w:line="288" w:lineRule="auto"/>
        <w:ind w:firstLineChars="0" w:firstLine="0"/>
        <w:jc w:val="left"/>
        <w:rPr>
          <w:rFonts w:cs="Times New Roman"/>
          <w:lang w:eastAsia="ko-KR"/>
        </w:rPr>
      </w:pPr>
    </w:p>
    <w:sectPr w:rsidR="000D540F" w:rsidRPr="000D540F" w:rsidSect="001D737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E9C5D" w14:textId="77777777" w:rsidR="007C3EE7" w:rsidRDefault="007C3EE7" w:rsidP="00A03DF3">
      <w:pPr>
        <w:spacing w:after="0"/>
      </w:pPr>
      <w:r>
        <w:separator/>
      </w:r>
    </w:p>
  </w:endnote>
  <w:endnote w:type="continuationSeparator" w:id="0">
    <w:p w14:paraId="2D93B568" w14:textId="77777777" w:rsidR="007C3EE7" w:rsidRDefault="007C3EE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85194" w14:textId="77777777" w:rsidR="007C3EE7" w:rsidRDefault="007C3EE7" w:rsidP="00A03DF3">
      <w:pPr>
        <w:spacing w:after="0"/>
      </w:pPr>
      <w:r>
        <w:separator/>
      </w:r>
    </w:p>
  </w:footnote>
  <w:footnote w:type="continuationSeparator" w:id="0">
    <w:p w14:paraId="6255B1A5" w14:textId="77777777" w:rsidR="007C3EE7" w:rsidRDefault="007C3EE7"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96754"/>
    <w:multiLevelType w:val="hybridMultilevel"/>
    <w:tmpl w:val="A7E6CD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E55F1"/>
    <w:multiLevelType w:val="hybridMultilevel"/>
    <w:tmpl w:val="8B7224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8748DA"/>
    <w:multiLevelType w:val="hybridMultilevel"/>
    <w:tmpl w:val="0D9ED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B56DDC"/>
    <w:multiLevelType w:val="hybridMultilevel"/>
    <w:tmpl w:val="1780FDFC"/>
    <w:lvl w:ilvl="0" w:tplc="26AA8DD8">
      <w:start w:val="1"/>
      <w:numFmt w:val="bullet"/>
      <w:lvlText w:val="-"/>
      <w:lvlJc w:val="left"/>
      <w:pPr>
        <w:ind w:left="393" w:hanging="360"/>
      </w:pPr>
      <w:rPr>
        <w:rFonts w:ascii="Arial" w:eastAsia="Malgun Gothic" w:hAnsi="Arial" w:cs="Arial" w:hint="default"/>
      </w:rPr>
    </w:lvl>
    <w:lvl w:ilvl="1" w:tplc="04090003">
      <w:start w:val="1"/>
      <w:numFmt w:val="bullet"/>
      <w:lvlText w:val="o"/>
      <w:lvlJc w:val="left"/>
      <w:pPr>
        <w:ind w:left="1113" w:hanging="360"/>
      </w:pPr>
      <w:rPr>
        <w:rFonts w:ascii="Courier New" w:hAnsi="Courier New" w:cs="Courier New" w:hint="default"/>
      </w:rPr>
    </w:lvl>
    <w:lvl w:ilvl="2" w:tplc="04090005">
      <w:start w:val="1"/>
      <w:numFmt w:val="bullet"/>
      <w:lvlText w:val=""/>
      <w:lvlJc w:val="left"/>
      <w:pPr>
        <w:ind w:left="1833" w:hanging="360"/>
      </w:pPr>
      <w:rPr>
        <w:rFonts w:ascii="Wingdings" w:hAnsi="Wingdings" w:hint="default"/>
      </w:rPr>
    </w:lvl>
    <w:lvl w:ilvl="3" w:tplc="04090001">
      <w:start w:val="1"/>
      <w:numFmt w:val="bullet"/>
      <w:lvlText w:val=""/>
      <w:lvlJc w:val="left"/>
      <w:pPr>
        <w:ind w:left="2553" w:hanging="360"/>
      </w:pPr>
      <w:rPr>
        <w:rFonts w:ascii="Symbol" w:hAnsi="Symbol" w:hint="default"/>
      </w:rPr>
    </w:lvl>
    <w:lvl w:ilvl="4" w:tplc="04090003">
      <w:start w:val="1"/>
      <w:numFmt w:val="bullet"/>
      <w:lvlText w:val="o"/>
      <w:lvlJc w:val="left"/>
      <w:pPr>
        <w:ind w:left="3273" w:hanging="360"/>
      </w:pPr>
      <w:rPr>
        <w:rFonts w:ascii="Courier New" w:hAnsi="Courier New" w:cs="Courier New" w:hint="default"/>
      </w:rPr>
    </w:lvl>
    <w:lvl w:ilvl="5" w:tplc="04090005">
      <w:start w:val="1"/>
      <w:numFmt w:val="bullet"/>
      <w:lvlText w:val=""/>
      <w:lvlJc w:val="left"/>
      <w:pPr>
        <w:ind w:left="3993" w:hanging="360"/>
      </w:pPr>
      <w:rPr>
        <w:rFonts w:ascii="Wingdings" w:hAnsi="Wingdings" w:hint="default"/>
      </w:rPr>
    </w:lvl>
    <w:lvl w:ilvl="6" w:tplc="04090001">
      <w:start w:val="1"/>
      <w:numFmt w:val="bullet"/>
      <w:lvlText w:val=""/>
      <w:lvlJc w:val="left"/>
      <w:pPr>
        <w:ind w:left="4713" w:hanging="360"/>
      </w:pPr>
      <w:rPr>
        <w:rFonts w:ascii="Symbol" w:hAnsi="Symbol" w:hint="default"/>
      </w:rPr>
    </w:lvl>
    <w:lvl w:ilvl="7" w:tplc="04090003">
      <w:start w:val="1"/>
      <w:numFmt w:val="bullet"/>
      <w:lvlText w:val="o"/>
      <w:lvlJc w:val="left"/>
      <w:pPr>
        <w:ind w:left="5433" w:hanging="360"/>
      </w:pPr>
      <w:rPr>
        <w:rFonts w:ascii="Courier New" w:hAnsi="Courier New" w:cs="Courier New" w:hint="default"/>
      </w:rPr>
    </w:lvl>
    <w:lvl w:ilvl="8" w:tplc="04090005">
      <w:start w:val="1"/>
      <w:numFmt w:val="bullet"/>
      <w:lvlText w:val=""/>
      <w:lvlJc w:val="left"/>
      <w:pPr>
        <w:ind w:left="6153" w:hanging="360"/>
      </w:pPr>
      <w:rPr>
        <w:rFonts w:ascii="Wingdings" w:hAnsi="Wingdings" w:hint="default"/>
      </w:rPr>
    </w:lvl>
  </w:abstractNum>
  <w:abstractNum w:abstractNumId="8"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C0234"/>
    <w:multiLevelType w:val="hybridMultilevel"/>
    <w:tmpl w:val="58DC7A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91761"/>
    <w:multiLevelType w:val="hybridMultilevel"/>
    <w:tmpl w:val="284C5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173294"/>
    <w:multiLevelType w:val="hybridMultilevel"/>
    <w:tmpl w:val="1020D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8476D69"/>
    <w:multiLevelType w:val="hybridMultilevel"/>
    <w:tmpl w:val="6CFEE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E58B5"/>
    <w:multiLevelType w:val="hybridMultilevel"/>
    <w:tmpl w:val="258CE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5D1838"/>
    <w:multiLevelType w:val="hybridMultilevel"/>
    <w:tmpl w:val="F56CD2A4"/>
    <w:lvl w:ilvl="0" w:tplc="3AE618A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07C60F8" w:tentative="1">
      <w:start w:val="1"/>
      <w:numFmt w:val="bullet"/>
      <w:lvlText w:val="-"/>
      <w:lvlJc w:val="left"/>
      <w:pPr>
        <w:tabs>
          <w:tab w:val="num" w:pos="2160"/>
        </w:tabs>
        <w:ind w:left="2160" w:hanging="360"/>
      </w:pPr>
      <w:rPr>
        <w:rFonts w:ascii="Times New Roman" w:hAnsi="Times New Roman" w:hint="default"/>
      </w:rPr>
    </w:lvl>
    <w:lvl w:ilvl="3" w:tplc="745C9042" w:tentative="1">
      <w:start w:val="1"/>
      <w:numFmt w:val="bullet"/>
      <w:lvlText w:val="-"/>
      <w:lvlJc w:val="left"/>
      <w:pPr>
        <w:tabs>
          <w:tab w:val="num" w:pos="2880"/>
        </w:tabs>
        <w:ind w:left="2880" w:hanging="360"/>
      </w:pPr>
      <w:rPr>
        <w:rFonts w:ascii="Times New Roman" w:hAnsi="Times New Roman" w:hint="default"/>
      </w:rPr>
    </w:lvl>
    <w:lvl w:ilvl="4" w:tplc="9F7A720A" w:tentative="1">
      <w:start w:val="1"/>
      <w:numFmt w:val="bullet"/>
      <w:lvlText w:val="-"/>
      <w:lvlJc w:val="left"/>
      <w:pPr>
        <w:tabs>
          <w:tab w:val="num" w:pos="3600"/>
        </w:tabs>
        <w:ind w:left="3600" w:hanging="360"/>
      </w:pPr>
      <w:rPr>
        <w:rFonts w:ascii="Times New Roman" w:hAnsi="Times New Roman" w:hint="default"/>
      </w:rPr>
    </w:lvl>
    <w:lvl w:ilvl="5" w:tplc="7370249C" w:tentative="1">
      <w:start w:val="1"/>
      <w:numFmt w:val="bullet"/>
      <w:lvlText w:val="-"/>
      <w:lvlJc w:val="left"/>
      <w:pPr>
        <w:tabs>
          <w:tab w:val="num" w:pos="4320"/>
        </w:tabs>
        <w:ind w:left="4320" w:hanging="360"/>
      </w:pPr>
      <w:rPr>
        <w:rFonts w:ascii="Times New Roman" w:hAnsi="Times New Roman" w:hint="default"/>
      </w:rPr>
    </w:lvl>
    <w:lvl w:ilvl="6" w:tplc="DDDCD1CE" w:tentative="1">
      <w:start w:val="1"/>
      <w:numFmt w:val="bullet"/>
      <w:lvlText w:val="-"/>
      <w:lvlJc w:val="left"/>
      <w:pPr>
        <w:tabs>
          <w:tab w:val="num" w:pos="5040"/>
        </w:tabs>
        <w:ind w:left="5040" w:hanging="360"/>
      </w:pPr>
      <w:rPr>
        <w:rFonts w:ascii="Times New Roman" w:hAnsi="Times New Roman" w:hint="default"/>
      </w:rPr>
    </w:lvl>
    <w:lvl w:ilvl="7" w:tplc="77DEF0C4" w:tentative="1">
      <w:start w:val="1"/>
      <w:numFmt w:val="bullet"/>
      <w:lvlText w:val="-"/>
      <w:lvlJc w:val="left"/>
      <w:pPr>
        <w:tabs>
          <w:tab w:val="num" w:pos="5760"/>
        </w:tabs>
        <w:ind w:left="5760" w:hanging="360"/>
      </w:pPr>
      <w:rPr>
        <w:rFonts w:ascii="Times New Roman" w:hAnsi="Times New Roman" w:hint="default"/>
      </w:rPr>
    </w:lvl>
    <w:lvl w:ilvl="8" w:tplc="2FA0773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6684A36"/>
    <w:multiLevelType w:val="hybridMultilevel"/>
    <w:tmpl w:val="7F9AC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B4003E"/>
    <w:multiLevelType w:val="hybridMultilevel"/>
    <w:tmpl w:val="DEC236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663F13"/>
    <w:multiLevelType w:val="hybridMultilevel"/>
    <w:tmpl w:val="773A4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4"/>
  </w:num>
  <w:num w:numId="5">
    <w:abstractNumId w:val="8"/>
  </w:num>
  <w:num w:numId="6">
    <w:abstractNumId w:val="15"/>
  </w:num>
  <w:num w:numId="7">
    <w:abstractNumId w:val="3"/>
  </w:num>
  <w:num w:numId="8">
    <w:abstractNumId w:val="10"/>
  </w:num>
  <w:num w:numId="9">
    <w:abstractNumId w:val="23"/>
  </w:num>
  <w:num w:numId="10">
    <w:abstractNumId w:val="14"/>
  </w:num>
  <w:num w:numId="11">
    <w:abstractNumId w:val="24"/>
  </w:num>
  <w:num w:numId="12">
    <w:abstractNumId w:val="1"/>
  </w:num>
  <w:num w:numId="13">
    <w:abstractNumId w:val="6"/>
  </w:num>
  <w:num w:numId="14">
    <w:abstractNumId w:val="12"/>
  </w:num>
  <w:num w:numId="15">
    <w:abstractNumId w:val="18"/>
  </w:num>
  <w:num w:numId="16">
    <w:abstractNumId w:val="5"/>
  </w:num>
  <w:num w:numId="17">
    <w:abstractNumId w:val="9"/>
  </w:num>
  <w:num w:numId="18">
    <w:abstractNumId w:val="7"/>
  </w:num>
  <w:num w:numId="19">
    <w:abstractNumId w:val="11"/>
  </w:num>
  <w:num w:numId="20">
    <w:abstractNumId w:val="17"/>
  </w:num>
  <w:num w:numId="21">
    <w:abstractNumId w:val="22"/>
  </w:num>
  <w:num w:numId="22">
    <w:abstractNumId w:val="19"/>
  </w:num>
  <w:num w:numId="23">
    <w:abstractNumId w:val="16"/>
  </w:num>
  <w:num w:numId="24">
    <w:abstractNumId w:val="20"/>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3E7"/>
    <w:rsid w:val="00005420"/>
    <w:rsid w:val="000057CD"/>
    <w:rsid w:val="00010AD5"/>
    <w:rsid w:val="00011622"/>
    <w:rsid w:val="0001508A"/>
    <w:rsid w:val="0001527B"/>
    <w:rsid w:val="00015895"/>
    <w:rsid w:val="000159A3"/>
    <w:rsid w:val="00016C91"/>
    <w:rsid w:val="00022FDE"/>
    <w:rsid w:val="000260D4"/>
    <w:rsid w:val="00027C22"/>
    <w:rsid w:val="00027EBC"/>
    <w:rsid w:val="000303D7"/>
    <w:rsid w:val="00030C32"/>
    <w:rsid w:val="00030F70"/>
    <w:rsid w:val="000339EA"/>
    <w:rsid w:val="00033AB4"/>
    <w:rsid w:val="00034E4C"/>
    <w:rsid w:val="00035544"/>
    <w:rsid w:val="00035EA3"/>
    <w:rsid w:val="00036CD9"/>
    <w:rsid w:val="00043BFA"/>
    <w:rsid w:val="00044E86"/>
    <w:rsid w:val="0004589F"/>
    <w:rsid w:val="00045958"/>
    <w:rsid w:val="00045CDA"/>
    <w:rsid w:val="00047B90"/>
    <w:rsid w:val="00051095"/>
    <w:rsid w:val="00051B99"/>
    <w:rsid w:val="00055CAE"/>
    <w:rsid w:val="00056C37"/>
    <w:rsid w:val="00060658"/>
    <w:rsid w:val="00060C75"/>
    <w:rsid w:val="00061478"/>
    <w:rsid w:val="00066211"/>
    <w:rsid w:val="00066D52"/>
    <w:rsid w:val="0007152D"/>
    <w:rsid w:val="0007333F"/>
    <w:rsid w:val="00076B7D"/>
    <w:rsid w:val="000778C5"/>
    <w:rsid w:val="000832B2"/>
    <w:rsid w:val="000873AD"/>
    <w:rsid w:val="00090F30"/>
    <w:rsid w:val="00091745"/>
    <w:rsid w:val="00092DCB"/>
    <w:rsid w:val="00092FC7"/>
    <w:rsid w:val="000935E4"/>
    <w:rsid w:val="000954F9"/>
    <w:rsid w:val="0009561A"/>
    <w:rsid w:val="000959FE"/>
    <w:rsid w:val="0009671B"/>
    <w:rsid w:val="00097DCF"/>
    <w:rsid w:val="000A006B"/>
    <w:rsid w:val="000A1C3B"/>
    <w:rsid w:val="000A34DE"/>
    <w:rsid w:val="000A3623"/>
    <w:rsid w:val="000A3742"/>
    <w:rsid w:val="000A4B9C"/>
    <w:rsid w:val="000A63D9"/>
    <w:rsid w:val="000A690F"/>
    <w:rsid w:val="000B30CF"/>
    <w:rsid w:val="000B3C8E"/>
    <w:rsid w:val="000B4387"/>
    <w:rsid w:val="000B5342"/>
    <w:rsid w:val="000B54C3"/>
    <w:rsid w:val="000C2AB2"/>
    <w:rsid w:val="000C3241"/>
    <w:rsid w:val="000C54D1"/>
    <w:rsid w:val="000C5F30"/>
    <w:rsid w:val="000D0C13"/>
    <w:rsid w:val="000D0DED"/>
    <w:rsid w:val="000D0F48"/>
    <w:rsid w:val="000D1DF5"/>
    <w:rsid w:val="000D2AC2"/>
    <w:rsid w:val="000D3F41"/>
    <w:rsid w:val="000D44F3"/>
    <w:rsid w:val="000D540F"/>
    <w:rsid w:val="000D7B19"/>
    <w:rsid w:val="000E13E5"/>
    <w:rsid w:val="000E201B"/>
    <w:rsid w:val="000E4677"/>
    <w:rsid w:val="000E74F9"/>
    <w:rsid w:val="000E7D06"/>
    <w:rsid w:val="000F0E8F"/>
    <w:rsid w:val="000F1625"/>
    <w:rsid w:val="000F423F"/>
    <w:rsid w:val="000F6AB9"/>
    <w:rsid w:val="000F6F27"/>
    <w:rsid w:val="000F70D6"/>
    <w:rsid w:val="001001EF"/>
    <w:rsid w:val="00101C60"/>
    <w:rsid w:val="001026C3"/>
    <w:rsid w:val="001030BA"/>
    <w:rsid w:val="00104F96"/>
    <w:rsid w:val="00105963"/>
    <w:rsid w:val="0010736D"/>
    <w:rsid w:val="00107EBD"/>
    <w:rsid w:val="00112054"/>
    <w:rsid w:val="0011294F"/>
    <w:rsid w:val="00112BF4"/>
    <w:rsid w:val="00113FE1"/>
    <w:rsid w:val="001153C1"/>
    <w:rsid w:val="0011607E"/>
    <w:rsid w:val="00116777"/>
    <w:rsid w:val="00116964"/>
    <w:rsid w:val="0012064F"/>
    <w:rsid w:val="001207B3"/>
    <w:rsid w:val="001215A0"/>
    <w:rsid w:val="00121C9D"/>
    <w:rsid w:val="00123BDE"/>
    <w:rsid w:val="001241AA"/>
    <w:rsid w:val="00125BD3"/>
    <w:rsid w:val="001268BD"/>
    <w:rsid w:val="00130CD1"/>
    <w:rsid w:val="001312E0"/>
    <w:rsid w:val="001324C6"/>
    <w:rsid w:val="0013305B"/>
    <w:rsid w:val="00134857"/>
    <w:rsid w:val="00134AB1"/>
    <w:rsid w:val="0013723F"/>
    <w:rsid w:val="001372D8"/>
    <w:rsid w:val="00137A1A"/>
    <w:rsid w:val="001402F1"/>
    <w:rsid w:val="00141B1B"/>
    <w:rsid w:val="00142F9D"/>
    <w:rsid w:val="001439E0"/>
    <w:rsid w:val="001440C3"/>
    <w:rsid w:val="00144A9B"/>
    <w:rsid w:val="0014521A"/>
    <w:rsid w:val="001456CE"/>
    <w:rsid w:val="00146787"/>
    <w:rsid w:val="00147AF1"/>
    <w:rsid w:val="0015086A"/>
    <w:rsid w:val="00150F00"/>
    <w:rsid w:val="001520B6"/>
    <w:rsid w:val="00152E02"/>
    <w:rsid w:val="00153147"/>
    <w:rsid w:val="001543A8"/>
    <w:rsid w:val="0015440A"/>
    <w:rsid w:val="00157ECF"/>
    <w:rsid w:val="001606E4"/>
    <w:rsid w:val="001636F7"/>
    <w:rsid w:val="0016453C"/>
    <w:rsid w:val="0016463F"/>
    <w:rsid w:val="00164BB5"/>
    <w:rsid w:val="00170BEA"/>
    <w:rsid w:val="00171D11"/>
    <w:rsid w:val="001735CB"/>
    <w:rsid w:val="00175C50"/>
    <w:rsid w:val="001764C0"/>
    <w:rsid w:val="00180BD3"/>
    <w:rsid w:val="00182D46"/>
    <w:rsid w:val="00182FFA"/>
    <w:rsid w:val="00183B2D"/>
    <w:rsid w:val="00184167"/>
    <w:rsid w:val="00184314"/>
    <w:rsid w:val="001867C5"/>
    <w:rsid w:val="00187C5B"/>
    <w:rsid w:val="00191970"/>
    <w:rsid w:val="001924E4"/>
    <w:rsid w:val="0019306E"/>
    <w:rsid w:val="00193382"/>
    <w:rsid w:val="00195FC3"/>
    <w:rsid w:val="001968DB"/>
    <w:rsid w:val="001974D0"/>
    <w:rsid w:val="001A059E"/>
    <w:rsid w:val="001A0BC6"/>
    <w:rsid w:val="001A2B79"/>
    <w:rsid w:val="001A3CE5"/>
    <w:rsid w:val="001A4A67"/>
    <w:rsid w:val="001A5314"/>
    <w:rsid w:val="001A5673"/>
    <w:rsid w:val="001A73F9"/>
    <w:rsid w:val="001B005A"/>
    <w:rsid w:val="001B07D0"/>
    <w:rsid w:val="001B148E"/>
    <w:rsid w:val="001B1ED0"/>
    <w:rsid w:val="001B60A9"/>
    <w:rsid w:val="001B6C4D"/>
    <w:rsid w:val="001B7546"/>
    <w:rsid w:val="001C3B56"/>
    <w:rsid w:val="001C3C25"/>
    <w:rsid w:val="001C3DDE"/>
    <w:rsid w:val="001C5B62"/>
    <w:rsid w:val="001C5C93"/>
    <w:rsid w:val="001D1411"/>
    <w:rsid w:val="001D4685"/>
    <w:rsid w:val="001D4912"/>
    <w:rsid w:val="001D502E"/>
    <w:rsid w:val="001D536B"/>
    <w:rsid w:val="001D5464"/>
    <w:rsid w:val="001D6F35"/>
    <w:rsid w:val="001D7377"/>
    <w:rsid w:val="001E0FE1"/>
    <w:rsid w:val="001E5F58"/>
    <w:rsid w:val="001E60E9"/>
    <w:rsid w:val="001E7A26"/>
    <w:rsid w:val="001F0EBA"/>
    <w:rsid w:val="001F7A89"/>
    <w:rsid w:val="00202109"/>
    <w:rsid w:val="002028A8"/>
    <w:rsid w:val="00203AD5"/>
    <w:rsid w:val="00206D78"/>
    <w:rsid w:val="00206DA2"/>
    <w:rsid w:val="0020778E"/>
    <w:rsid w:val="00207CDD"/>
    <w:rsid w:val="00210583"/>
    <w:rsid w:val="0021091C"/>
    <w:rsid w:val="00210B1E"/>
    <w:rsid w:val="002116FA"/>
    <w:rsid w:val="00211B7F"/>
    <w:rsid w:val="00215D87"/>
    <w:rsid w:val="002167D4"/>
    <w:rsid w:val="0022049E"/>
    <w:rsid w:val="00220626"/>
    <w:rsid w:val="00221100"/>
    <w:rsid w:val="002215F1"/>
    <w:rsid w:val="0022189F"/>
    <w:rsid w:val="00223388"/>
    <w:rsid w:val="00223BDA"/>
    <w:rsid w:val="00224B24"/>
    <w:rsid w:val="00224D3B"/>
    <w:rsid w:val="00225AA6"/>
    <w:rsid w:val="00226F8B"/>
    <w:rsid w:val="0022755B"/>
    <w:rsid w:val="0023027D"/>
    <w:rsid w:val="002329AE"/>
    <w:rsid w:val="002343BE"/>
    <w:rsid w:val="002353B5"/>
    <w:rsid w:val="00235F16"/>
    <w:rsid w:val="00235F95"/>
    <w:rsid w:val="00236601"/>
    <w:rsid w:val="002403D2"/>
    <w:rsid w:val="00240494"/>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1E6C"/>
    <w:rsid w:val="0026281E"/>
    <w:rsid w:val="002632D5"/>
    <w:rsid w:val="002639F5"/>
    <w:rsid w:val="00264DB8"/>
    <w:rsid w:val="00264F59"/>
    <w:rsid w:val="0026628D"/>
    <w:rsid w:val="002665E9"/>
    <w:rsid w:val="00267C30"/>
    <w:rsid w:val="00270E7D"/>
    <w:rsid w:val="002717F2"/>
    <w:rsid w:val="0027236F"/>
    <w:rsid w:val="00272DA9"/>
    <w:rsid w:val="00273151"/>
    <w:rsid w:val="00273449"/>
    <w:rsid w:val="00273B90"/>
    <w:rsid w:val="00276192"/>
    <w:rsid w:val="00276AAD"/>
    <w:rsid w:val="00277131"/>
    <w:rsid w:val="00280D6A"/>
    <w:rsid w:val="00281165"/>
    <w:rsid w:val="00282243"/>
    <w:rsid w:val="00283062"/>
    <w:rsid w:val="00287058"/>
    <w:rsid w:val="00287A2D"/>
    <w:rsid w:val="002947BA"/>
    <w:rsid w:val="00294E72"/>
    <w:rsid w:val="002965B6"/>
    <w:rsid w:val="002A0948"/>
    <w:rsid w:val="002A0C4C"/>
    <w:rsid w:val="002A405C"/>
    <w:rsid w:val="002A443F"/>
    <w:rsid w:val="002A4512"/>
    <w:rsid w:val="002A7477"/>
    <w:rsid w:val="002A75CB"/>
    <w:rsid w:val="002B113B"/>
    <w:rsid w:val="002B26F8"/>
    <w:rsid w:val="002B4367"/>
    <w:rsid w:val="002B6ADF"/>
    <w:rsid w:val="002C247C"/>
    <w:rsid w:val="002C49F0"/>
    <w:rsid w:val="002C503C"/>
    <w:rsid w:val="002C68F6"/>
    <w:rsid w:val="002C7973"/>
    <w:rsid w:val="002D0E77"/>
    <w:rsid w:val="002D1D49"/>
    <w:rsid w:val="002D52C3"/>
    <w:rsid w:val="002D566F"/>
    <w:rsid w:val="002D6FB7"/>
    <w:rsid w:val="002D7FA2"/>
    <w:rsid w:val="002E026C"/>
    <w:rsid w:val="002E3614"/>
    <w:rsid w:val="002E37DE"/>
    <w:rsid w:val="002F0C46"/>
    <w:rsid w:val="002F1B33"/>
    <w:rsid w:val="002F2224"/>
    <w:rsid w:val="002F3FC4"/>
    <w:rsid w:val="002F77F7"/>
    <w:rsid w:val="002F7814"/>
    <w:rsid w:val="00301F11"/>
    <w:rsid w:val="00303721"/>
    <w:rsid w:val="00304012"/>
    <w:rsid w:val="00305BD0"/>
    <w:rsid w:val="00307C59"/>
    <w:rsid w:val="00311B98"/>
    <w:rsid w:val="0031220B"/>
    <w:rsid w:val="00312297"/>
    <w:rsid w:val="00312B92"/>
    <w:rsid w:val="003151A4"/>
    <w:rsid w:val="00316619"/>
    <w:rsid w:val="00317DDA"/>
    <w:rsid w:val="00320BD0"/>
    <w:rsid w:val="00320BDF"/>
    <w:rsid w:val="00321485"/>
    <w:rsid w:val="00323D1C"/>
    <w:rsid w:val="003246F3"/>
    <w:rsid w:val="003252C3"/>
    <w:rsid w:val="003266DD"/>
    <w:rsid w:val="00327FD0"/>
    <w:rsid w:val="0033045D"/>
    <w:rsid w:val="00331DD7"/>
    <w:rsid w:val="0033264B"/>
    <w:rsid w:val="00332CC0"/>
    <w:rsid w:val="0033310B"/>
    <w:rsid w:val="003336FC"/>
    <w:rsid w:val="003346E4"/>
    <w:rsid w:val="00336053"/>
    <w:rsid w:val="00337899"/>
    <w:rsid w:val="00337FAE"/>
    <w:rsid w:val="00340D03"/>
    <w:rsid w:val="00340D88"/>
    <w:rsid w:val="00340E6C"/>
    <w:rsid w:val="00341051"/>
    <w:rsid w:val="0034274F"/>
    <w:rsid w:val="00342B0C"/>
    <w:rsid w:val="00343703"/>
    <w:rsid w:val="00343D0D"/>
    <w:rsid w:val="0034479D"/>
    <w:rsid w:val="00346C2C"/>
    <w:rsid w:val="00352AA8"/>
    <w:rsid w:val="003547D5"/>
    <w:rsid w:val="003572C1"/>
    <w:rsid w:val="003577E0"/>
    <w:rsid w:val="00357B90"/>
    <w:rsid w:val="00362D9F"/>
    <w:rsid w:val="00363E20"/>
    <w:rsid w:val="0036606A"/>
    <w:rsid w:val="00366C1D"/>
    <w:rsid w:val="00366F6C"/>
    <w:rsid w:val="00370ACF"/>
    <w:rsid w:val="0037404F"/>
    <w:rsid w:val="003748EB"/>
    <w:rsid w:val="00374EB9"/>
    <w:rsid w:val="00375AB6"/>
    <w:rsid w:val="00375B1B"/>
    <w:rsid w:val="00376A4C"/>
    <w:rsid w:val="003778D9"/>
    <w:rsid w:val="00377A07"/>
    <w:rsid w:val="00382B8E"/>
    <w:rsid w:val="00385655"/>
    <w:rsid w:val="00387A55"/>
    <w:rsid w:val="00387C10"/>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267A"/>
    <w:rsid w:val="003A36BF"/>
    <w:rsid w:val="003A3C47"/>
    <w:rsid w:val="003A6195"/>
    <w:rsid w:val="003A6578"/>
    <w:rsid w:val="003A6B48"/>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18F0"/>
    <w:rsid w:val="003C3681"/>
    <w:rsid w:val="003C7444"/>
    <w:rsid w:val="003D0616"/>
    <w:rsid w:val="003D19EF"/>
    <w:rsid w:val="003D204E"/>
    <w:rsid w:val="003D2E6C"/>
    <w:rsid w:val="003D359A"/>
    <w:rsid w:val="003D41DA"/>
    <w:rsid w:val="003D48ED"/>
    <w:rsid w:val="003D4F26"/>
    <w:rsid w:val="003D53F0"/>
    <w:rsid w:val="003D6E67"/>
    <w:rsid w:val="003D7039"/>
    <w:rsid w:val="003E1245"/>
    <w:rsid w:val="003E13C9"/>
    <w:rsid w:val="003E2566"/>
    <w:rsid w:val="003E3239"/>
    <w:rsid w:val="003E3522"/>
    <w:rsid w:val="003E516B"/>
    <w:rsid w:val="003E5A6A"/>
    <w:rsid w:val="003E6804"/>
    <w:rsid w:val="003E78B6"/>
    <w:rsid w:val="003E7DEE"/>
    <w:rsid w:val="003F069B"/>
    <w:rsid w:val="003F18D4"/>
    <w:rsid w:val="003F1A54"/>
    <w:rsid w:val="003F4BCF"/>
    <w:rsid w:val="003F5A1C"/>
    <w:rsid w:val="003F6345"/>
    <w:rsid w:val="003F664D"/>
    <w:rsid w:val="003F6824"/>
    <w:rsid w:val="003F68FF"/>
    <w:rsid w:val="003F7524"/>
    <w:rsid w:val="00401CA4"/>
    <w:rsid w:val="004024A9"/>
    <w:rsid w:val="00402754"/>
    <w:rsid w:val="00404B2F"/>
    <w:rsid w:val="00404E7A"/>
    <w:rsid w:val="004068A7"/>
    <w:rsid w:val="00411B51"/>
    <w:rsid w:val="004129F6"/>
    <w:rsid w:val="0041562C"/>
    <w:rsid w:val="00416336"/>
    <w:rsid w:val="00416848"/>
    <w:rsid w:val="0041687B"/>
    <w:rsid w:val="00416CF9"/>
    <w:rsid w:val="00417010"/>
    <w:rsid w:val="00417323"/>
    <w:rsid w:val="0041753A"/>
    <w:rsid w:val="00420203"/>
    <w:rsid w:val="0042051C"/>
    <w:rsid w:val="00420CB9"/>
    <w:rsid w:val="00422C37"/>
    <w:rsid w:val="00422C7F"/>
    <w:rsid w:val="00422F11"/>
    <w:rsid w:val="004303F8"/>
    <w:rsid w:val="004338FE"/>
    <w:rsid w:val="004340D2"/>
    <w:rsid w:val="004344AE"/>
    <w:rsid w:val="00434EBF"/>
    <w:rsid w:val="004373B3"/>
    <w:rsid w:val="004377F0"/>
    <w:rsid w:val="00437912"/>
    <w:rsid w:val="00441F43"/>
    <w:rsid w:val="00442890"/>
    <w:rsid w:val="00443FCB"/>
    <w:rsid w:val="0044468E"/>
    <w:rsid w:val="004457B1"/>
    <w:rsid w:val="00446B9E"/>
    <w:rsid w:val="00451BA0"/>
    <w:rsid w:val="004526EA"/>
    <w:rsid w:val="00455451"/>
    <w:rsid w:val="00460FF1"/>
    <w:rsid w:val="00462337"/>
    <w:rsid w:val="00464EBF"/>
    <w:rsid w:val="004678E8"/>
    <w:rsid w:val="004679EE"/>
    <w:rsid w:val="00470821"/>
    <w:rsid w:val="00474DB0"/>
    <w:rsid w:val="00475059"/>
    <w:rsid w:val="00477A4A"/>
    <w:rsid w:val="00477EA5"/>
    <w:rsid w:val="00480411"/>
    <w:rsid w:val="004812D3"/>
    <w:rsid w:val="00481619"/>
    <w:rsid w:val="00482E20"/>
    <w:rsid w:val="00484322"/>
    <w:rsid w:val="00487D79"/>
    <w:rsid w:val="00491CAF"/>
    <w:rsid w:val="00492AF8"/>
    <w:rsid w:val="004934E6"/>
    <w:rsid w:val="0049529B"/>
    <w:rsid w:val="0049755C"/>
    <w:rsid w:val="004A0812"/>
    <w:rsid w:val="004A199C"/>
    <w:rsid w:val="004A1FDE"/>
    <w:rsid w:val="004A361B"/>
    <w:rsid w:val="004A5460"/>
    <w:rsid w:val="004A6CA3"/>
    <w:rsid w:val="004A6EA1"/>
    <w:rsid w:val="004A7A2D"/>
    <w:rsid w:val="004A7A57"/>
    <w:rsid w:val="004B1914"/>
    <w:rsid w:val="004B334F"/>
    <w:rsid w:val="004B424C"/>
    <w:rsid w:val="004B53E3"/>
    <w:rsid w:val="004B761C"/>
    <w:rsid w:val="004B7973"/>
    <w:rsid w:val="004C01AE"/>
    <w:rsid w:val="004C0DF8"/>
    <w:rsid w:val="004C157C"/>
    <w:rsid w:val="004C1CE2"/>
    <w:rsid w:val="004C2121"/>
    <w:rsid w:val="004C21C6"/>
    <w:rsid w:val="004C45DE"/>
    <w:rsid w:val="004C5E1C"/>
    <w:rsid w:val="004C6E15"/>
    <w:rsid w:val="004D0052"/>
    <w:rsid w:val="004D0C69"/>
    <w:rsid w:val="004D1AF9"/>
    <w:rsid w:val="004D23C9"/>
    <w:rsid w:val="004D2D73"/>
    <w:rsid w:val="004D4847"/>
    <w:rsid w:val="004E24E6"/>
    <w:rsid w:val="004E2B12"/>
    <w:rsid w:val="004E7803"/>
    <w:rsid w:val="004F14EC"/>
    <w:rsid w:val="004F178A"/>
    <w:rsid w:val="004F4000"/>
    <w:rsid w:val="005005DC"/>
    <w:rsid w:val="00502F81"/>
    <w:rsid w:val="00504DBF"/>
    <w:rsid w:val="0050563E"/>
    <w:rsid w:val="00507616"/>
    <w:rsid w:val="00507EA9"/>
    <w:rsid w:val="00512C66"/>
    <w:rsid w:val="005132EB"/>
    <w:rsid w:val="00515991"/>
    <w:rsid w:val="00517073"/>
    <w:rsid w:val="00520D3A"/>
    <w:rsid w:val="005236B8"/>
    <w:rsid w:val="00523E5C"/>
    <w:rsid w:val="00524196"/>
    <w:rsid w:val="00526E57"/>
    <w:rsid w:val="00526FA6"/>
    <w:rsid w:val="0052789C"/>
    <w:rsid w:val="00530A7F"/>
    <w:rsid w:val="00531689"/>
    <w:rsid w:val="00532D88"/>
    <w:rsid w:val="00534474"/>
    <w:rsid w:val="00534CE2"/>
    <w:rsid w:val="00536ECE"/>
    <w:rsid w:val="005378D7"/>
    <w:rsid w:val="00540049"/>
    <w:rsid w:val="00542900"/>
    <w:rsid w:val="005431AE"/>
    <w:rsid w:val="00546C64"/>
    <w:rsid w:val="00547465"/>
    <w:rsid w:val="00550D62"/>
    <w:rsid w:val="005523E0"/>
    <w:rsid w:val="00552467"/>
    <w:rsid w:val="0055311C"/>
    <w:rsid w:val="0055425E"/>
    <w:rsid w:val="00554916"/>
    <w:rsid w:val="0055551B"/>
    <w:rsid w:val="00555971"/>
    <w:rsid w:val="00556408"/>
    <w:rsid w:val="00556937"/>
    <w:rsid w:val="0055721B"/>
    <w:rsid w:val="00557E3C"/>
    <w:rsid w:val="00560B0A"/>
    <w:rsid w:val="0056408E"/>
    <w:rsid w:val="00566D2E"/>
    <w:rsid w:val="005672AD"/>
    <w:rsid w:val="0056776F"/>
    <w:rsid w:val="0056784F"/>
    <w:rsid w:val="00571745"/>
    <w:rsid w:val="005719A3"/>
    <w:rsid w:val="00572547"/>
    <w:rsid w:val="005745E3"/>
    <w:rsid w:val="00574896"/>
    <w:rsid w:val="00576219"/>
    <w:rsid w:val="00577765"/>
    <w:rsid w:val="00577EBD"/>
    <w:rsid w:val="00582039"/>
    <w:rsid w:val="00582F17"/>
    <w:rsid w:val="00583324"/>
    <w:rsid w:val="00585441"/>
    <w:rsid w:val="00585A03"/>
    <w:rsid w:val="0058635D"/>
    <w:rsid w:val="0058748B"/>
    <w:rsid w:val="00591605"/>
    <w:rsid w:val="0059203A"/>
    <w:rsid w:val="00594E1F"/>
    <w:rsid w:val="00596086"/>
    <w:rsid w:val="0059696B"/>
    <w:rsid w:val="005A13B6"/>
    <w:rsid w:val="005A47ED"/>
    <w:rsid w:val="005A6ADD"/>
    <w:rsid w:val="005A773C"/>
    <w:rsid w:val="005B4A31"/>
    <w:rsid w:val="005C17F4"/>
    <w:rsid w:val="005C1AF3"/>
    <w:rsid w:val="005C1BF7"/>
    <w:rsid w:val="005C1CAB"/>
    <w:rsid w:val="005C2365"/>
    <w:rsid w:val="005C2E6A"/>
    <w:rsid w:val="005C5F6F"/>
    <w:rsid w:val="005C68CF"/>
    <w:rsid w:val="005C6FED"/>
    <w:rsid w:val="005D1107"/>
    <w:rsid w:val="005D4158"/>
    <w:rsid w:val="005D60F5"/>
    <w:rsid w:val="005D693B"/>
    <w:rsid w:val="005E0B87"/>
    <w:rsid w:val="005E303C"/>
    <w:rsid w:val="005E394B"/>
    <w:rsid w:val="005E3AC6"/>
    <w:rsid w:val="005E3F61"/>
    <w:rsid w:val="005E617B"/>
    <w:rsid w:val="005E6E5E"/>
    <w:rsid w:val="005F2BEE"/>
    <w:rsid w:val="005F2CCD"/>
    <w:rsid w:val="005F352C"/>
    <w:rsid w:val="005F49A2"/>
    <w:rsid w:val="005F49BE"/>
    <w:rsid w:val="005F57A4"/>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042"/>
    <w:rsid w:val="00641160"/>
    <w:rsid w:val="006412D0"/>
    <w:rsid w:val="00644658"/>
    <w:rsid w:val="0064482B"/>
    <w:rsid w:val="0064521D"/>
    <w:rsid w:val="0064651B"/>
    <w:rsid w:val="00646C98"/>
    <w:rsid w:val="00647991"/>
    <w:rsid w:val="00647AC9"/>
    <w:rsid w:val="006518D1"/>
    <w:rsid w:val="00651910"/>
    <w:rsid w:val="006520F9"/>
    <w:rsid w:val="00652351"/>
    <w:rsid w:val="0065278B"/>
    <w:rsid w:val="00652B6D"/>
    <w:rsid w:val="0065305D"/>
    <w:rsid w:val="006538B5"/>
    <w:rsid w:val="00653B6D"/>
    <w:rsid w:val="0065582F"/>
    <w:rsid w:val="00655A41"/>
    <w:rsid w:val="00655B30"/>
    <w:rsid w:val="0065608D"/>
    <w:rsid w:val="0066172B"/>
    <w:rsid w:val="006617F8"/>
    <w:rsid w:val="006625D4"/>
    <w:rsid w:val="00662774"/>
    <w:rsid w:val="00662FB8"/>
    <w:rsid w:val="00670289"/>
    <w:rsid w:val="00670DC9"/>
    <w:rsid w:val="006711BE"/>
    <w:rsid w:val="00671971"/>
    <w:rsid w:val="0067232E"/>
    <w:rsid w:val="00673FE1"/>
    <w:rsid w:val="006740BC"/>
    <w:rsid w:val="00674CE5"/>
    <w:rsid w:val="00676C08"/>
    <w:rsid w:val="006774EA"/>
    <w:rsid w:val="00677EEB"/>
    <w:rsid w:val="00682E8A"/>
    <w:rsid w:val="00683F52"/>
    <w:rsid w:val="00684402"/>
    <w:rsid w:val="0068751A"/>
    <w:rsid w:val="00690ECB"/>
    <w:rsid w:val="00692A94"/>
    <w:rsid w:val="006931F2"/>
    <w:rsid w:val="0069347B"/>
    <w:rsid w:val="00695584"/>
    <w:rsid w:val="00695D47"/>
    <w:rsid w:val="00697235"/>
    <w:rsid w:val="006972E9"/>
    <w:rsid w:val="00697CB2"/>
    <w:rsid w:val="006A0147"/>
    <w:rsid w:val="006A19C7"/>
    <w:rsid w:val="006A27B5"/>
    <w:rsid w:val="006A6012"/>
    <w:rsid w:val="006B13A0"/>
    <w:rsid w:val="006B1704"/>
    <w:rsid w:val="006B20AF"/>
    <w:rsid w:val="006B2B03"/>
    <w:rsid w:val="006B2F66"/>
    <w:rsid w:val="006C10C2"/>
    <w:rsid w:val="006C3CAC"/>
    <w:rsid w:val="006C4E28"/>
    <w:rsid w:val="006C61D9"/>
    <w:rsid w:val="006C7F70"/>
    <w:rsid w:val="006D06BF"/>
    <w:rsid w:val="006D2961"/>
    <w:rsid w:val="006D3DCE"/>
    <w:rsid w:val="006D4F51"/>
    <w:rsid w:val="006D59E0"/>
    <w:rsid w:val="006D71C6"/>
    <w:rsid w:val="006E2136"/>
    <w:rsid w:val="006E3876"/>
    <w:rsid w:val="006E49A9"/>
    <w:rsid w:val="006E5D2D"/>
    <w:rsid w:val="006E6F2D"/>
    <w:rsid w:val="006F1AB8"/>
    <w:rsid w:val="006F1DB7"/>
    <w:rsid w:val="006F26DC"/>
    <w:rsid w:val="006F67B2"/>
    <w:rsid w:val="006F6D48"/>
    <w:rsid w:val="006F6E9D"/>
    <w:rsid w:val="006F7C39"/>
    <w:rsid w:val="00700F24"/>
    <w:rsid w:val="007014DC"/>
    <w:rsid w:val="00701722"/>
    <w:rsid w:val="00701AC6"/>
    <w:rsid w:val="00701D4D"/>
    <w:rsid w:val="00702162"/>
    <w:rsid w:val="007038C7"/>
    <w:rsid w:val="00707D90"/>
    <w:rsid w:val="00707EB7"/>
    <w:rsid w:val="0071017C"/>
    <w:rsid w:val="0071263F"/>
    <w:rsid w:val="007133C3"/>
    <w:rsid w:val="007150AB"/>
    <w:rsid w:val="00716FCF"/>
    <w:rsid w:val="00721AED"/>
    <w:rsid w:val="007220D3"/>
    <w:rsid w:val="007224EE"/>
    <w:rsid w:val="00723119"/>
    <w:rsid w:val="00723BBF"/>
    <w:rsid w:val="00724A2A"/>
    <w:rsid w:val="00725721"/>
    <w:rsid w:val="00726A03"/>
    <w:rsid w:val="007314F6"/>
    <w:rsid w:val="00731CA1"/>
    <w:rsid w:val="007354D0"/>
    <w:rsid w:val="007363D1"/>
    <w:rsid w:val="00737941"/>
    <w:rsid w:val="00737AE7"/>
    <w:rsid w:val="0074405F"/>
    <w:rsid w:val="00744101"/>
    <w:rsid w:val="007450E7"/>
    <w:rsid w:val="00747B4E"/>
    <w:rsid w:val="007523CE"/>
    <w:rsid w:val="00752458"/>
    <w:rsid w:val="007527B6"/>
    <w:rsid w:val="00756B03"/>
    <w:rsid w:val="0075772F"/>
    <w:rsid w:val="00757A8C"/>
    <w:rsid w:val="007609D8"/>
    <w:rsid w:val="0076148F"/>
    <w:rsid w:val="00761948"/>
    <w:rsid w:val="007627D6"/>
    <w:rsid w:val="0076369B"/>
    <w:rsid w:val="007646E8"/>
    <w:rsid w:val="0076536B"/>
    <w:rsid w:val="00765500"/>
    <w:rsid w:val="00767F04"/>
    <w:rsid w:val="007709F1"/>
    <w:rsid w:val="007712A1"/>
    <w:rsid w:val="00775052"/>
    <w:rsid w:val="0077540B"/>
    <w:rsid w:val="007759B8"/>
    <w:rsid w:val="00775CDB"/>
    <w:rsid w:val="00777489"/>
    <w:rsid w:val="00777ECD"/>
    <w:rsid w:val="00780F90"/>
    <w:rsid w:val="00782137"/>
    <w:rsid w:val="00782F4C"/>
    <w:rsid w:val="007842E3"/>
    <w:rsid w:val="00784323"/>
    <w:rsid w:val="007854CB"/>
    <w:rsid w:val="00785B2C"/>
    <w:rsid w:val="00785FC0"/>
    <w:rsid w:val="00787355"/>
    <w:rsid w:val="00787DC9"/>
    <w:rsid w:val="00791191"/>
    <w:rsid w:val="007933F1"/>
    <w:rsid w:val="00794BEE"/>
    <w:rsid w:val="007951DD"/>
    <w:rsid w:val="00795488"/>
    <w:rsid w:val="00795D96"/>
    <w:rsid w:val="007962E4"/>
    <w:rsid w:val="007A2CF5"/>
    <w:rsid w:val="007A2D9C"/>
    <w:rsid w:val="007A4702"/>
    <w:rsid w:val="007A5533"/>
    <w:rsid w:val="007A5A73"/>
    <w:rsid w:val="007A613D"/>
    <w:rsid w:val="007B0698"/>
    <w:rsid w:val="007B093F"/>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C3EE7"/>
    <w:rsid w:val="007C6345"/>
    <w:rsid w:val="007C7288"/>
    <w:rsid w:val="007D025A"/>
    <w:rsid w:val="007D14F8"/>
    <w:rsid w:val="007D2614"/>
    <w:rsid w:val="007D37A6"/>
    <w:rsid w:val="007D4364"/>
    <w:rsid w:val="007D4A70"/>
    <w:rsid w:val="007D4EF8"/>
    <w:rsid w:val="007D627C"/>
    <w:rsid w:val="007D6BED"/>
    <w:rsid w:val="007E0588"/>
    <w:rsid w:val="007E1361"/>
    <w:rsid w:val="007E1969"/>
    <w:rsid w:val="007E2279"/>
    <w:rsid w:val="007E3019"/>
    <w:rsid w:val="007E31D6"/>
    <w:rsid w:val="007E33CE"/>
    <w:rsid w:val="007E403A"/>
    <w:rsid w:val="007E466A"/>
    <w:rsid w:val="007E5121"/>
    <w:rsid w:val="007E5AFA"/>
    <w:rsid w:val="007E67DA"/>
    <w:rsid w:val="007E698A"/>
    <w:rsid w:val="007F08CC"/>
    <w:rsid w:val="007F0B0E"/>
    <w:rsid w:val="007F1518"/>
    <w:rsid w:val="007F4369"/>
    <w:rsid w:val="007F622A"/>
    <w:rsid w:val="007F6392"/>
    <w:rsid w:val="00801267"/>
    <w:rsid w:val="00801A7F"/>
    <w:rsid w:val="00805CD7"/>
    <w:rsid w:val="00806F34"/>
    <w:rsid w:val="00811A50"/>
    <w:rsid w:val="0081221B"/>
    <w:rsid w:val="008124BF"/>
    <w:rsid w:val="008143B4"/>
    <w:rsid w:val="008169EA"/>
    <w:rsid w:val="00816C00"/>
    <w:rsid w:val="00816FB9"/>
    <w:rsid w:val="00817943"/>
    <w:rsid w:val="0082127E"/>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501B"/>
    <w:rsid w:val="008568A6"/>
    <w:rsid w:val="00861296"/>
    <w:rsid w:val="0086141D"/>
    <w:rsid w:val="00862896"/>
    <w:rsid w:val="008640DB"/>
    <w:rsid w:val="008645B9"/>
    <w:rsid w:val="0087094D"/>
    <w:rsid w:val="00870B70"/>
    <w:rsid w:val="00871512"/>
    <w:rsid w:val="00872C33"/>
    <w:rsid w:val="00872C91"/>
    <w:rsid w:val="00872F7D"/>
    <w:rsid w:val="00873CA7"/>
    <w:rsid w:val="00874247"/>
    <w:rsid w:val="008749D8"/>
    <w:rsid w:val="00874B12"/>
    <w:rsid w:val="008751E7"/>
    <w:rsid w:val="00875C60"/>
    <w:rsid w:val="00876AD3"/>
    <w:rsid w:val="0088025E"/>
    <w:rsid w:val="0088342F"/>
    <w:rsid w:val="00884757"/>
    <w:rsid w:val="008856F1"/>
    <w:rsid w:val="008866D5"/>
    <w:rsid w:val="00886C69"/>
    <w:rsid w:val="00886FAA"/>
    <w:rsid w:val="00893BDE"/>
    <w:rsid w:val="00896357"/>
    <w:rsid w:val="00896606"/>
    <w:rsid w:val="00896CCD"/>
    <w:rsid w:val="00896ED9"/>
    <w:rsid w:val="00897143"/>
    <w:rsid w:val="008A0593"/>
    <w:rsid w:val="008A1B5D"/>
    <w:rsid w:val="008A1D42"/>
    <w:rsid w:val="008A2956"/>
    <w:rsid w:val="008A47E4"/>
    <w:rsid w:val="008A5CC4"/>
    <w:rsid w:val="008A7C64"/>
    <w:rsid w:val="008B2785"/>
    <w:rsid w:val="008B3683"/>
    <w:rsid w:val="008B4703"/>
    <w:rsid w:val="008B4956"/>
    <w:rsid w:val="008C3161"/>
    <w:rsid w:val="008C3B49"/>
    <w:rsid w:val="008C503A"/>
    <w:rsid w:val="008C7323"/>
    <w:rsid w:val="008D04DC"/>
    <w:rsid w:val="008D098B"/>
    <w:rsid w:val="008D24B6"/>
    <w:rsid w:val="008D2A8E"/>
    <w:rsid w:val="008D3301"/>
    <w:rsid w:val="008D39F9"/>
    <w:rsid w:val="008D42A7"/>
    <w:rsid w:val="008D5128"/>
    <w:rsid w:val="008D6188"/>
    <w:rsid w:val="008E0C3B"/>
    <w:rsid w:val="008E1849"/>
    <w:rsid w:val="008E230E"/>
    <w:rsid w:val="008E332B"/>
    <w:rsid w:val="008E4630"/>
    <w:rsid w:val="008E491C"/>
    <w:rsid w:val="008E4A25"/>
    <w:rsid w:val="008E530E"/>
    <w:rsid w:val="008E590B"/>
    <w:rsid w:val="008E5AEC"/>
    <w:rsid w:val="008E6C81"/>
    <w:rsid w:val="008E7B8F"/>
    <w:rsid w:val="008F0310"/>
    <w:rsid w:val="008F1068"/>
    <w:rsid w:val="008F40A8"/>
    <w:rsid w:val="008F4B86"/>
    <w:rsid w:val="008F63C1"/>
    <w:rsid w:val="00900E69"/>
    <w:rsid w:val="00901CEB"/>
    <w:rsid w:val="009031D6"/>
    <w:rsid w:val="009060A4"/>
    <w:rsid w:val="00906F42"/>
    <w:rsid w:val="00907FBE"/>
    <w:rsid w:val="009109F7"/>
    <w:rsid w:val="00910EFC"/>
    <w:rsid w:val="00913445"/>
    <w:rsid w:val="009153CC"/>
    <w:rsid w:val="00915DB8"/>
    <w:rsid w:val="0092002C"/>
    <w:rsid w:val="00920EB9"/>
    <w:rsid w:val="00922DB8"/>
    <w:rsid w:val="00922FFE"/>
    <w:rsid w:val="0092343F"/>
    <w:rsid w:val="00923E44"/>
    <w:rsid w:val="00925BD7"/>
    <w:rsid w:val="0093256C"/>
    <w:rsid w:val="00932A0E"/>
    <w:rsid w:val="00932E94"/>
    <w:rsid w:val="00935907"/>
    <w:rsid w:val="0093628F"/>
    <w:rsid w:val="00936573"/>
    <w:rsid w:val="00940F70"/>
    <w:rsid w:val="00941DF6"/>
    <w:rsid w:val="00946F5B"/>
    <w:rsid w:val="00947745"/>
    <w:rsid w:val="009504F2"/>
    <w:rsid w:val="00952338"/>
    <w:rsid w:val="0095273F"/>
    <w:rsid w:val="009535EE"/>
    <w:rsid w:val="00953857"/>
    <w:rsid w:val="00954D33"/>
    <w:rsid w:val="00955118"/>
    <w:rsid w:val="00956E72"/>
    <w:rsid w:val="00957370"/>
    <w:rsid w:val="00960D71"/>
    <w:rsid w:val="00961690"/>
    <w:rsid w:val="00963D1D"/>
    <w:rsid w:val="00964D90"/>
    <w:rsid w:val="00965E59"/>
    <w:rsid w:val="0097146E"/>
    <w:rsid w:val="009726BD"/>
    <w:rsid w:val="0097289C"/>
    <w:rsid w:val="00972945"/>
    <w:rsid w:val="009739C0"/>
    <w:rsid w:val="009752A3"/>
    <w:rsid w:val="00982817"/>
    <w:rsid w:val="00983362"/>
    <w:rsid w:val="009854DF"/>
    <w:rsid w:val="009867D6"/>
    <w:rsid w:val="00986E49"/>
    <w:rsid w:val="00987D62"/>
    <w:rsid w:val="00990685"/>
    <w:rsid w:val="00990A43"/>
    <w:rsid w:val="00995EC7"/>
    <w:rsid w:val="00996A4D"/>
    <w:rsid w:val="0099741C"/>
    <w:rsid w:val="00997526"/>
    <w:rsid w:val="009A0E1B"/>
    <w:rsid w:val="009A2943"/>
    <w:rsid w:val="009A3908"/>
    <w:rsid w:val="009A5761"/>
    <w:rsid w:val="009A5C07"/>
    <w:rsid w:val="009A653A"/>
    <w:rsid w:val="009A6F25"/>
    <w:rsid w:val="009B0E57"/>
    <w:rsid w:val="009B10BB"/>
    <w:rsid w:val="009B2504"/>
    <w:rsid w:val="009B34F4"/>
    <w:rsid w:val="009B3ABB"/>
    <w:rsid w:val="009B3CC5"/>
    <w:rsid w:val="009B63FE"/>
    <w:rsid w:val="009B6715"/>
    <w:rsid w:val="009B71CB"/>
    <w:rsid w:val="009C4798"/>
    <w:rsid w:val="009C7667"/>
    <w:rsid w:val="009C7C90"/>
    <w:rsid w:val="009D0591"/>
    <w:rsid w:val="009D1015"/>
    <w:rsid w:val="009D1A91"/>
    <w:rsid w:val="009D3945"/>
    <w:rsid w:val="009D3D65"/>
    <w:rsid w:val="009D6967"/>
    <w:rsid w:val="009E015F"/>
    <w:rsid w:val="009E04BB"/>
    <w:rsid w:val="009E3171"/>
    <w:rsid w:val="009E33DF"/>
    <w:rsid w:val="009E6668"/>
    <w:rsid w:val="009E7909"/>
    <w:rsid w:val="009F225B"/>
    <w:rsid w:val="009F4239"/>
    <w:rsid w:val="009F6A8B"/>
    <w:rsid w:val="009F6DCB"/>
    <w:rsid w:val="00A0043A"/>
    <w:rsid w:val="00A00718"/>
    <w:rsid w:val="00A02BB4"/>
    <w:rsid w:val="00A03B18"/>
    <w:rsid w:val="00A03DF3"/>
    <w:rsid w:val="00A04325"/>
    <w:rsid w:val="00A04D00"/>
    <w:rsid w:val="00A06950"/>
    <w:rsid w:val="00A12457"/>
    <w:rsid w:val="00A126DF"/>
    <w:rsid w:val="00A12C1A"/>
    <w:rsid w:val="00A17E1C"/>
    <w:rsid w:val="00A2175E"/>
    <w:rsid w:val="00A22287"/>
    <w:rsid w:val="00A24F36"/>
    <w:rsid w:val="00A24FFD"/>
    <w:rsid w:val="00A27894"/>
    <w:rsid w:val="00A27BFE"/>
    <w:rsid w:val="00A3099D"/>
    <w:rsid w:val="00A3107A"/>
    <w:rsid w:val="00A324E0"/>
    <w:rsid w:val="00A34F90"/>
    <w:rsid w:val="00A350AD"/>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1D6"/>
    <w:rsid w:val="00A553C2"/>
    <w:rsid w:val="00A57112"/>
    <w:rsid w:val="00A57130"/>
    <w:rsid w:val="00A57378"/>
    <w:rsid w:val="00A57CC8"/>
    <w:rsid w:val="00A603D2"/>
    <w:rsid w:val="00A605AD"/>
    <w:rsid w:val="00A62AF6"/>
    <w:rsid w:val="00A62EBB"/>
    <w:rsid w:val="00A63066"/>
    <w:rsid w:val="00A63211"/>
    <w:rsid w:val="00A63B04"/>
    <w:rsid w:val="00A63D5B"/>
    <w:rsid w:val="00A63F79"/>
    <w:rsid w:val="00A64200"/>
    <w:rsid w:val="00A65BAB"/>
    <w:rsid w:val="00A706A9"/>
    <w:rsid w:val="00A70BB4"/>
    <w:rsid w:val="00A75D64"/>
    <w:rsid w:val="00A77589"/>
    <w:rsid w:val="00A7768F"/>
    <w:rsid w:val="00A82221"/>
    <w:rsid w:val="00A82F9A"/>
    <w:rsid w:val="00A86FE7"/>
    <w:rsid w:val="00A9149F"/>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3EE"/>
    <w:rsid w:val="00AC7E9D"/>
    <w:rsid w:val="00AD46D6"/>
    <w:rsid w:val="00AD476B"/>
    <w:rsid w:val="00AD4BAB"/>
    <w:rsid w:val="00AD4E2E"/>
    <w:rsid w:val="00AE0F88"/>
    <w:rsid w:val="00AE1C31"/>
    <w:rsid w:val="00AE2549"/>
    <w:rsid w:val="00AE2B5E"/>
    <w:rsid w:val="00AE38B6"/>
    <w:rsid w:val="00AE5E33"/>
    <w:rsid w:val="00AE5F35"/>
    <w:rsid w:val="00AE6679"/>
    <w:rsid w:val="00AE7311"/>
    <w:rsid w:val="00AE7D6D"/>
    <w:rsid w:val="00AE7D6E"/>
    <w:rsid w:val="00AF1182"/>
    <w:rsid w:val="00AF2C72"/>
    <w:rsid w:val="00AF32DD"/>
    <w:rsid w:val="00AF4C33"/>
    <w:rsid w:val="00AF4E20"/>
    <w:rsid w:val="00B0220C"/>
    <w:rsid w:val="00B0298C"/>
    <w:rsid w:val="00B05E07"/>
    <w:rsid w:val="00B10448"/>
    <w:rsid w:val="00B11AAC"/>
    <w:rsid w:val="00B11FEC"/>
    <w:rsid w:val="00B14F27"/>
    <w:rsid w:val="00B1573B"/>
    <w:rsid w:val="00B158A5"/>
    <w:rsid w:val="00B15EE5"/>
    <w:rsid w:val="00B161CA"/>
    <w:rsid w:val="00B16D19"/>
    <w:rsid w:val="00B17D90"/>
    <w:rsid w:val="00B208AD"/>
    <w:rsid w:val="00B21435"/>
    <w:rsid w:val="00B22133"/>
    <w:rsid w:val="00B25548"/>
    <w:rsid w:val="00B275F6"/>
    <w:rsid w:val="00B2760E"/>
    <w:rsid w:val="00B27AF1"/>
    <w:rsid w:val="00B313C1"/>
    <w:rsid w:val="00B342FC"/>
    <w:rsid w:val="00B34E93"/>
    <w:rsid w:val="00B35115"/>
    <w:rsid w:val="00B35D09"/>
    <w:rsid w:val="00B37819"/>
    <w:rsid w:val="00B37E16"/>
    <w:rsid w:val="00B4399E"/>
    <w:rsid w:val="00B43D45"/>
    <w:rsid w:val="00B46D6E"/>
    <w:rsid w:val="00B50B55"/>
    <w:rsid w:val="00B50BAC"/>
    <w:rsid w:val="00B510D9"/>
    <w:rsid w:val="00B5153D"/>
    <w:rsid w:val="00B51D37"/>
    <w:rsid w:val="00B52858"/>
    <w:rsid w:val="00B52CA9"/>
    <w:rsid w:val="00B52DC9"/>
    <w:rsid w:val="00B54124"/>
    <w:rsid w:val="00B56C15"/>
    <w:rsid w:val="00B614B4"/>
    <w:rsid w:val="00B625A0"/>
    <w:rsid w:val="00B635F9"/>
    <w:rsid w:val="00B64959"/>
    <w:rsid w:val="00B65450"/>
    <w:rsid w:val="00B66C83"/>
    <w:rsid w:val="00B7005D"/>
    <w:rsid w:val="00B70289"/>
    <w:rsid w:val="00B70845"/>
    <w:rsid w:val="00B70A63"/>
    <w:rsid w:val="00B71769"/>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08B9"/>
    <w:rsid w:val="00BA5B69"/>
    <w:rsid w:val="00BA6439"/>
    <w:rsid w:val="00BB4D26"/>
    <w:rsid w:val="00BB7132"/>
    <w:rsid w:val="00BC18F9"/>
    <w:rsid w:val="00BC23E8"/>
    <w:rsid w:val="00BC2552"/>
    <w:rsid w:val="00BC622B"/>
    <w:rsid w:val="00BC6517"/>
    <w:rsid w:val="00BC66E7"/>
    <w:rsid w:val="00BC7F02"/>
    <w:rsid w:val="00BD0968"/>
    <w:rsid w:val="00BD2690"/>
    <w:rsid w:val="00BD46DC"/>
    <w:rsid w:val="00BD5423"/>
    <w:rsid w:val="00BD605B"/>
    <w:rsid w:val="00BD74FD"/>
    <w:rsid w:val="00BE0B73"/>
    <w:rsid w:val="00BE119E"/>
    <w:rsid w:val="00BE1DAD"/>
    <w:rsid w:val="00BE2BF0"/>
    <w:rsid w:val="00BE3275"/>
    <w:rsid w:val="00BE41B0"/>
    <w:rsid w:val="00BE4FED"/>
    <w:rsid w:val="00BE540A"/>
    <w:rsid w:val="00BF0A0B"/>
    <w:rsid w:val="00BF0AF0"/>
    <w:rsid w:val="00BF2C7E"/>
    <w:rsid w:val="00BF3706"/>
    <w:rsid w:val="00BF3B8F"/>
    <w:rsid w:val="00BF3D2F"/>
    <w:rsid w:val="00BF44C5"/>
    <w:rsid w:val="00C0337D"/>
    <w:rsid w:val="00C03938"/>
    <w:rsid w:val="00C03AC6"/>
    <w:rsid w:val="00C041A2"/>
    <w:rsid w:val="00C04775"/>
    <w:rsid w:val="00C10662"/>
    <w:rsid w:val="00C125B0"/>
    <w:rsid w:val="00C12B9F"/>
    <w:rsid w:val="00C13584"/>
    <w:rsid w:val="00C13C76"/>
    <w:rsid w:val="00C1412D"/>
    <w:rsid w:val="00C15431"/>
    <w:rsid w:val="00C20564"/>
    <w:rsid w:val="00C22111"/>
    <w:rsid w:val="00C23C35"/>
    <w:rsid w:val="00C24250"/>
    <w:rsid w:val="00C24CA8"/>
    <w:rsid w:val="00C2535E"/>
    <w:rsid w:val="00C26211"/>
    <w:rsid w:val="00C26A7D"/>
    <w:rsid w:val="00C26EEA"/>
    <w:rsid w:val="00C30AC5"/>
    <w:rsid w:val="00C31268"/>
    <w:rsid w:val="00C32ABF"/>
    <w:rsid w:val="00C32E9D"/>
    <w:rsid w:val="00C34D74"/>
    <w:rsid w:val="00C3521A"/>
    <w:rsid w:val="00C3611F"/>
    <w:rsid w:val="00C366CB"/>
    <w:rsid w:val="00C408EF"/>
    <w:rsid w:val="00C414EE"/>
    <w:rsid w:val="00C41511"/>
    <w:rsid w:val="00C47571"/>
    <w:rsid w:val="00C50D06"/>
    <w:rsid w:val="00C50F1D"/>
    <w:rsid w:val="00C528CF"/>
    <w:rsid w:val="00C52EA4"/>
    <w:rsid w:val="00C532A5"/>
    <w:rsid w:val="00C542D0"/>
    <w:rsid w:val="00C609A1"/>
    <w:rsid w:val="00C61851"/>
    <w:rsid w:val="00C63851"/>
    <w:rsid w:val="00C63E31"/>
    <w:rsid w:val="00C66201"/>
    <w:rsid w:val="00C66FC0"/>
    <w:rsid w:val="00C7091A"/>
    <w:rsid w:val="00C737B8"/>
    <w:rsid w:val="00C74074"/>
    <w:rsid w:val="00C749EF"/>
    <w:rsid w:val="00C76A03"/>
    <w:rsid w:val="00C7787C"/>
    <w:rsid w:val="00C77D50"/>
    <w:rsid w:val="00C8028F"/>
    <w:rsid w:val="00C815AD"/>
    <w:rsid w:val="00C82538"/>
    <w:rsid w:val="00C82D64"/>
    <w:rsid w:val="00C85E94"/>
    <w:rsid w:val="00C869FC"/>
    <w:rsid w:val="00C86D74"/>
    <w:rsid w:val="00C870DB"/>
    <w:rsid w:val="00C871CD"/>
    <w:rsid w:val="00C90121"/>
    <w:rsid w:val="00C92614"/>
    <w:rsid w:val="00C939F2"/>
    <w:rsid w:val="00C96D35"/>
    <w:rsid w:val="00CA1802"/>
    <w:rsid w:val="00CA1972"/>
    <w:rsid w:val="00CA2032"/>
    <w:rsid w:val="00CA233B"/>
    <w:rsid w:val="00CA3E7B"/>
    <w:rsid w:val="00CA6F59"/>
    <w:rsid w:val="00CB00B9"/>
    <w:rsid w:val="00CB03E0"/>
    <w:rsid w:val="00CB0DA6"/>
    <w:rsid w:val="00CB23CE"/>
    <w:rsid w:val="00CB2E0F"/>
    <w:rsid w:val="00CB3B44"/>
    <w:rsid w:val="00CB47D2"/>
    <w:rsid w:val="00CB5708"/>
    <w:rsid w:val="00CB5975"/>
    <w:rsid w:val="00CB5E6A"/>
    <w:rsid w:val="00CB6157"/>
    <w:rsid w:val="00CB61BB"/>
    <w:rsid w:val="00CC064F"/>
    <w:rsid w:val="00CC08B7"/>
    <w:rsid w:val="00CC0B65"/>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CF6725"/>
    <w:rsid w:val="00D01615"/>
    <w:rsid w:val="00D06461"/>
    <w:rsid w:val="00D07A78"/>
    <w:rsid w:val="00D10414"/>
    <w:rsid w:val="00D1087A"/>
    <w:rsid w:val="00D10ACE"/>
    <w:rsid w:val="00D112AD"/>
    <w:rsid w:val="00D11AD9"/>
    <w:rsid w:val="00D11E75"/>
    <w:rsid w:val="00D13533"/>
    <w:rsid w:val="00D21F62"/>
    <w:rsid w:val="00D23077"/>
    <w:rsid w:val="00D23157"/>
    <w:rsid w:val="00D2331A"/>
    <w:rsid w:val="00D25060"/>
    <w:rsid w:val="00D25618"/>
    <w:rsid w:val="00D2655C"/>
    <w:rsid w:val="00D30247"/>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4A15"/>
    <w:rsid w:val="00D65695"/>
    <w:rsid w:val="00D65973"/>
    <w:rsid w:val="00D670B6"/>
    <w:rsid w:val="00D672CA"/>
    <w:rsid w:val="00D679A2"/>
    <w:rsid w:val="00D70BDF"/>
    <w:rsid w:val="00D730DD"/>
    <w:rsid w:val="00D753BC"/>
    <w:rsid w:val="00D757D5"/>
    <w:rsid w:val="00D76B0A"/>
    <w:rsid w:val="00D773F5"/>
    <w:rsid w:val="00D84155"/>
    <w:rsid w:val="00D84347"/>
    <w:rsid w:val="00D844CD"/>
    <w:rsid w:val="00D84D79"/>
    <w:rsid w:val="00D86C0A"/>
    <w:rsid w:val="00D86CDE"/>
    <w:rsid w:val="00D91B82"/>
    <w:rsid w:val="00D923F2"/>
    <w:rsid w:val="00D92EFA"/>
    <w:rsid w:val="00DA04A3"/>
    <w:rsid w:val="00DA13F0"/>
    <w:rsid w:val="00DA1B9A"/>
    <w:rsid w:val="00DA2C8B"/>
    <w:rsid w:val="00DA53F3"/>
    <w:rsid w:val="00DA55D4"/>
    <w:rsid w:val="00DA5897"/>
    <w:rsid w:val="00DA60BB"/>
    <w:rsid w:val="00DA7B6D"/>
    <w:rsid w:val="00DB1CA3"/>
    <w:rsid w:val="00DB2528"/>
    <w:rsid w:val="00DB32D0"/>
    <w:rsid w:val="00DB7543"/>
    <w:rsid w:val="00DB7753"/>
    <w:rsid w:val="00DC3082"/>
    <w:rsid w:val="00DC4803"/>
    <w:rsid w:val="00DC5457"/>
    <w:rsid w:val="00DC69F1"/>
    <w:rsid w:val="00DD1351"/>
    <w:rsid w:val="00DD2C39"/>
    <w:rsid w:val="00DD5DA4"/>
    <w:rsid w:val="00DE0754"/>
    <w:rsid w:val="00DE093B"/>
    <w:rsid w:val="00DE0A17"/>
    <w:rsid w:val="00DE1D60"/>
    <w:rsid w:val="00DE4BE7"/>
    <w:rsid w:val="00DE5572"/>
    <w:rsid w:val="00DE621A"/>
    <w:rsid w:val="00DE796D"/>
    <w:rsid w:val="00DF1D05"/>
    <w:rsid w:val="00DF2015"/>
    <w:rsid w:val="00DF364B"/>
    <w:rsid w:val="00E013FB"/>
    <w:rsid w:val="00E030D4"/>
    <w:rsid w:val="00E03787"/>
    <w:rsid w:val="00E057EC"/>
    <w:rsid w:val="00E05BED"/>
    <w:rsid w:val="00E07BD1"/>
    <w:rsid w:val="00E07DBF"/>
    <w:rsid w:val="00E1029B"/>
    <w:rsid w:val="00E10FAE"/>
    <w:rsid w:val="00E116C9"/>
    <w:rsid w:val="00E1405C"/>
    <w:rsid w:val="00E15D40"/>
    <w:rsid w:val="00E1663F"/>
    <w:rsid w:val="00E16740"/>
    <w:rsid w:val="00E21FF3"/>
    <w:rsid w:val="00E228F6"/>
    <w:rsid w:val="00E23345"/>
    <w:rsid w:val="00E24751"/>
    <w:rsid w:val="00E27121"/>
    <w:rsid w:val="00E278E8"/>
    <w:rsid w:val="00E30EEB"/>
    <w:rsid w:val="00E30F1A"/>
    <w:rsid w:val="00E332EB"/>
    <w:rsid w:val="00E33411"/>
    <w:rsid w:val="00E33EF2"/>
    <w:rsid w:val="00E33FDB"/>
    <w:rsid w:val="00E372EA"/>
    <w:rsid w:val="00E42515"/>
    <w:rsid w:val="00E44770"/>
    <w:rsid w:val="00E45583"/>
    <w:rsid w:val="00E45CEA"/>
    <w:rsid w:val="00E513A1"/>
    <w:rsid w:val="00E522FE"/>
    <w:rsid w:val="00E543B1"/>
    <w:rsid w:val="00E569C2"/>
    <w:rsid w:val="00E57FF6"/>
    <w:rsid w:val="00E64339"/>
    <w:rsid w:val="00E64664"/>
    <w:rsid w:val="00E6533C"/>
    <w:rsid w:val="00E6667E"/>
    <w:rsid w:val="00E71F9D"/>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60"/>
    <w:rsid w:val="00EA4F7C"/>
    <w:rsid w:val="00EA61AC"/>
    <w:rsid w:val="00EB0397"/>
    <w:rsid w:val="00EB36AE"/>
    <w:rsid w:val="00EB3933"/>
    <w:rsid w:val="00EB3C1A"/>
    <w:rsid w:val="00EB3E74"/>
    <w:rsid w:val="00EB4B6F"/>
    <w:rsid w:val="00EB6001"/>
    <w:rsid w:val="00EB6F52"/>
    <w:rsid w:val="00EC0809"/>
    <w:rsid w:val="00EC2A46"/>
    <w:rsid w:val="00EC3BD4"/>
    <w:rsid w:val="00EC3E8E"/>
    <w:rsid w:val="00EC4C97"/>
    <w:rsid w:val="00EC4E5C"/>
    <w:rsid w:val="00EC6DE5"/>
    <w:rsid w:val="00EC7301"/>
    <w:rsid w:val="00EC795E"/>
    <w:rsid w:val="00ED0713"/>
    <w:rsid w:val="00ED0E87"/>
    <w:rsid w:val="00ED305A"/>
    <w:rsid w:val="00ED315D"/>
    <w:rsid w:val="00ED3CB7"/>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2341"/>
    <w:rsid w:val="00F032FE"/>
    <w:rsid w:val="00F03394"/>
    <w:rsid w:val="00F0766F"/>
    <w:rsid w:val="00F07BA7"/>
    <w:rsid w:val="00F10053"/>
    <w:rsid w:val="00F1194D"/>
    <w:rsid w:val="00F11EC8"/>
    <w:rsid w:val="00F120E1"/>
    <w:rsid w:val="00F12A86"/>
    <w:rsid w:val="00F13188"/>
    <w:rsid w:val="00F13661"/>
    <w:rsid w:val="00F13D9C"/>
    <w:rsid w:val="00F14345"/>
    <w:rsid w:val="00F14D2B"/>
    <w:rsid w:val="00F15B55"/>
    <w:rsid w:val="00F16067"/>
    <w:rsid w:val="00F16134"/>
    <w:rsid w:val="00F176BB"/>
    <w:rsid w:val="00F234A0"/>
    <w:rsid w:val="00F2362D"/>
    <w:rsid w:val="00F23797"/>
    <w:rsid w:val="00F249A4"/>
    <w:rsid w:val="00F307ED"/>
    <w:rsid w:val="00F31548"/>
    <w:rsid w:val="00F33E4A"/>
    <w:rsid w:val="00F355D3"/>
    <w:rsid w:val="00F35B9A"/>
    <w:rsid w:val="00F35C83"/>
    <w:rsid w:val="00F364DE"/>
    <w:rsid w:val="00F420E7"/>
    <w:rsid w:val="00F42D8E"/>
    <w:rsid w:val="00F44993"/>
    <w:rsid w:val="00F46DA6"/>
    <w:rsid w:val="00F50498"/>
    <w:rsid w:val="00F51112"/>
    <w:rsid w:val="00F53F7C"/>
    <w:rsid w:val="00F5519A"/>
    <w:rsid w:val="00F558E7"/>
    <w:rsid w:val="00F57355"/>
    <w:rsid w:val="00F60856"/>
    <w:rsid w:val="00F62D70"/>
    <w:rsid w:val="00F639CE"/>
    <w:rsid w:val="00F66B33"/>
    <w:rsid w:val="00F670FA"/>
    <w:rsid w:val="00F67A74"/>
    <w:rsid w:val="00F71D1D"/>
    <w:rsid w:val="00F7241F"/>
    <w:rsid w:val="00F77945"/>
    <w:rsid w:val="00F80524"/>
    <w:rsid w:val="00F831DF"/>
    <w:rsid w:val="00F8398C"/>
    <w:rsid w:val="00F85A4F"/>
    <w:rsid w:val="00F873FA"/>
    <w:rsid w:val="00F9037A"/>
    <w:rsid w:val="00F9095A"/>
    <w:rsid w:val="00F91EE0"/>
    <w:rsid w:val="00F92065"/>
    <w:rsid w:val="00F928B9"/>
    <w:rsid w:val="00F93A5B"/>
    <w:rsid w:val="00F93AB4"/>
    <w:rsid w:val="00F93C84"/>
    <w:rsid w:val="00F97396"/>
    <w:rsid w:val="00FA0325"/>
    <w:rsid w:val="00FA1001"/>
    <w:rsid w:val="00FA3B6B"/>
    <w:rsid w:val="00FA3E4F"/>
    <w:rsid w:val="00FA56FC"/>
    <w:rsid w:val="00FA6C31"/>
    <w:rsid w:val="00FB0A2A"/>
    <w:rsid w:val="00FB10A8"/>
    <w:rsid w:val="00FB1B76"/>
    <w:rsid w:val="00FB1D13"/>
    <w:rsid w:val="00FB2656"/>
    <w:rsid w:val="00FB3296"/>
    <w:rsid w:val="00FB3504"/>
    <w:rsid w:val="00FB3560"/>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E50BA"/>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 ??,?????,????,Lista1,列出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 w:type="paragraph" w:customStyle="1" w:styleId="TAL">
    <w:name w:val="TAL"/>
    <w:basedOn w:val="Normal"/>
    <w:link w:val="TALCar"/>
    <w:rsid w:val="0022755B"/>
    <w:pPr>
      <w:keepNext/>
      <w:keepLines/>
      <w:overflowPunct/>
      <w:autoSpaceDE/>
      <w:autoSpaceDN/>
      <w:adjustRightInd/>
      <w:spacing w:after="0"/>
      <w:textAlignment w:val="auto"/>
    </w:pPr>
    <w:rPr>
      <w:rFonts w:ascii="Arial" w:eastAsia="Yu Mincho" w:hAnsi="Arial"/>
      <w:sz w:val="18"/>
      <w:lang w:val="en-GB" w:eastAsia="x-none"/>
    </w:rPr>
  </w:style>
  <w:style w:type="paragraph" w:customStyle="1" w:styleId="TAH">
    <w:name w:val="TAH"/>
    <w:basedOn w:val="Normal"/>
    <w:rsid w:val="0022755B"/>
    <w:pPr>
      <w:keepNext/>
      <w:keepLines/>
      <w:overflowPunct/>
      <w:autoSpaceDE/>
      <w:autoSpaceDN/>
      <w:adjustRightInd/>
      <w:spacing w:after="0"/>
      <w:jc w:val="center"/>
      <w:textAlignment w:val="auto"/>
    </w:pPr>
    <w:rPr>
      <w:rFonts w:ascii="Arial" w:eastAsia="Yu Mincho" w:hAnsi="Arial"/>
      <w:b/>
      <w:sz w:val="18"/>
      <w:lang w:val="en-GB" w:eastAsia="x-none"/>
    </w:rPr>
  </w:style>
  <w:style w:type="paragraph" w:customStyle="1" w:styleId="TAN">
    <w:name w:val="TAN"/>
    <w:basedOn w:val="TAL"/>
    <w:rsid w:val="0022755B"/>
    <w:pPr>
      <w:ind w:left="851" w:hanging="851"/>
    </w:pPr>
  </w:style>
  <w:style w:type="character" w:customStyle="1" w:styleId="TALCar">
    <w:name w:val="TAL Car"/>
    <w:link w:val="TAL"/>
    <w:rsid w:val="0022755B"/>
    <w:rPr>
      <w:rFonts w:ascii="Arial" w:eastAsia="Yu Mincho"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8787F-28B6-4544-8B28-45F1CAF60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5</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67</cp:revision>
  <dcterms:created xsi:type="dcterms:W3CDTF">2018-11-01T03:45:00Z</dcterms:created>
  <dcterms:modified xsi:type="dcterms:W3CDTF">2018-11-03T03:03:00Z</dcterms:modified>
</cp:coreProperties>
</file>